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1.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2.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3.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4.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5.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6AA" w:rsidRDefault="00C946AA" w:rsidP="00C946AA">
      <w:pPr>
        <w:keepNext/>
        <w:keepLines/>
        <w:spacing w:before="240" w:after="0"/>
        <w:outlineLvl w:val="0"/>
        <w:rPr>
          <w:rFonts w:asciiTheme="majorHAnsi" w:eastAsia="Lucida Sans Unicode" w:hAnsiTheme="majorHAnsi" w:cstheme="majorBidi"/>
          <w:color w:val="2E74B5" w:themeColor="accent1" w:themeShade="BF"/>
          <w:sz w:val="32"/>
          <w:szCs w:val="32"/>
          <w:lang w:eastAsia="zh-CN"/>
        </w:rPr>
      </w:pPr>
      <w:r w:rsidRPr="00C946AA">
        <w:rPr>
          <w:rFonts w:asciiTheme="majorHAnsi" w:eastAsia="Lucida Sans Unicode" w:hAnsiTheme="majorHAnsi" w:cstheme="majorBidi"/>
          <w:noProof/>
          <w:color w:val="2E74B5" w:themeColor="accent1" w:themeShade="BF"/>
          <w:sz w:val="32"/>
          <w:szCs w:val="32"/>
          <w:lang w:eastAsia="cs-CZ"/>
        </w:rPr>
        <w:drawing>
          <wp:anchor distT="0" distB="0" distL="114300" distR="114300" simplePos="0" relativeHeight="251658240" behindDoc="1" locked="0" layoutInCell="1" allowOverlap="1">
            <wp:simplePos x="0" y="0"/>
            <wp:positionH relativeFrom="column">
              <wp:posOffset>-385445</wp:posOffset>
            </wp:positionH>
            <wp:positionV relativeFrom="paragraph">
              <wp:posOffset>147955</wp:posOffset>
            </wp:positionV>
            <wp:extent cx="6629400" cy="4143028"/>
            <wp:effectExtent l="0" t="0" r="0" b="0"/>
            <wp:wrapNone/>
            <wp:docPr id="1" name="Obrázek 1" descr="C:\Users\User\AppData\Local\Microsoft\Windows\INetCache\Content.Outlook\IMAA27FR\P7028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IMAA27FR\P702838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3181" cy="41453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6AA" w:rsidRDefault="00C946AA" w:rsidP="00C946AA">
      <w:pPr>
        <w:keepNext/>
        <w:keepLines/>
        <w:spacing w:before="240" w:after="0"/>
        <w:outlineLvl w:val="0"/>
        <w:rPr>
          <w:rFonts w:asciiTheme="majorHAnsi" w:eastAsia="Lucida Sans Unicode" w:hAnsiTheme="majorHAnsi" w:cstheme="majorBidi"/>
          <w:color w:val="2E74B5" w:themeColor="accent1" w:themeShade="BF"/>
          <w:sz w:val="32"/>
          <w:szCs w:val="32"/>
          <w:lang w:eastAsia="zh-CN"/>
        </w:rPr>
      </w:pPr>
    </w:p>
    <w:p w:rsidR="00C946AA" w:rsidRDefault="00C946AA" w:rsidP="00C946AA">
      <w:pPr>
        <w:keepNext/>
        <w:keepLines/>
        <w:tabs>
          <w:tab w:val="left" w:pos="3510"/>
        </w:tabs>
        <w:spacing w:before="240" w:after="0"/>
        <w:outlineLvl w:val="0"/>
        <w:rPr>
          <w:rFonts w:ascii="Monotype Corsiva" w:eastAsia="Lucida Sans Unicode" w:hAnsi="Monotype Corsiva" w:cstheme="majorBidi"/>
          <w:color w:val="2E74B5" w:themeColor="accent1" w:themeShade="BF"/>
          <w:sz w:val="144"/>
          <w:szCs w:val="144"/>
          <w:lang w:eastAsia="zh-CN"/>
        </w:rPr>
      </w:pPr>
      <w:r>
        <w:rPr>
          <w:rFonts w:ascii="Monotype Corsiva" w:eastAsia="Lucida Sans Unicode" w:hAnsi="Monotype Corsiva" w:cstheme="majorBidi"/>
          <w:color w:val="2E74B5" w:themeColor="accent1" w:themeShade="BF"/>
          <w:sz w:val="144"/>
          <w:szCs w:val="144"/>
          <w:lang w:eastAsia="zh-CN"/>
        </w:rPr>
        <w:tab/>
      </w:r>
    </w:p>
    <w:p w:rsidR="00C946AA" w:rsidRDefault="00C946AA" w:rsidP="00C946AA">
      <w:pPr>
        <w:keepNext/>
        <w:keepLines/>
        <w:spacing w:before="240" w:after="0"/>
        <w:outlineLvl w:val="0"/>
        <w:rPr>
          <w:rFonts w:ascii="Monotype Corsiva" w:eastAsia="Lucida Sans Unicode" w:hAnsi="Monotype Corsiva" w:cstheme="majorBidi"/>
          <w:color w:val="2E74B5" w:themeColor="accent1" w:themeShade="BF"/>
          <w:sz w:val="144"/>
          <w:szCs w:val="144"/>
          <w:lang w:eastAsia="zh-CN"/>
        </w:rPr>
      </w:pPr>
    </w:p>
    <w:p w:rsidR="00C946AA" w:rsidRPr="00C946AA" w:rsidRDefault="00C946AA" w:rsidP="00C946AA">
      <w:pPr>
        <w:keepNext/>
        <w:keepLines/>
        <w:spacing w:before="240" w:after="0"/>
        <w:jc w:val="center"/>
        <w:outlineLvl w:val="0"/>
        <w:rPr>
          <w:rFonts w:ascii="Monotype Corsiva" w:eastAsia="Lucida Sans Unicode" w:hAnsi="Monotype Corsiva" w:cstheme="majorBidi"/>
          <w:color w:val="FFC000"/>
          <w:sz w:val="144"/>
          <w:szCs w:val="144"/>
          <w:lang w:eastAsia="zh-CN"/>
        </w:rPr>
      </w:pPr>
      <w:r w:rsidRPr="00C946AA">
        <w:rPr>
          <w:rFonts w:ascii="Monotype Corsiva" w:eastAsia="Lucida Sans Unicode" w:hAnsi="Monotype Corsiva" w:cstheme="majorBidi"/>
          <w:color w:val="FFC000"/>
          <w:sz w:val="144"/>
          <w:szCs w:val="144"/>
          <w:lang w:eastAsia="zh-CN"/>
        </w:rPr>
        <w:t>Výroční zpráva</w:t>
      </w:r>
    </w:p>
    <w:p w:rsidR="00C946AA" w:rsidRPr="00C946AA" w:rsidRDefault="00C946AA" w:rsidP="00C946AA">
      <w:pPr>
        <w:keepNext/>
        <w:keepLines/>
        <w:spacing w:before="240" w:after="0"/>
        <w:jc w:val="center"/>
        <w:outlineLvl w:val="0"/>
        <w:rPr>
          <w:rFonts w:ascii="Monotype Corsiva" w:eastAsia="Lucida Sans Unicode" w:hAnsi="Monotype Corsiva" w:cstheme="majorBidi"/>
          <w:color w:val="FFC000"/>
          <w:sz w:val="144"/>
          <w:szCs w:val="144"/>
          <w:lang w:eastAsia="zh-CN"/>
        </w:rPr>
      </w:pPr>
      <w:r w:rsidRPr="00C946AA">
        <w:rPr>
          <w:rFonts w:ascii="Monotype Corsiva" w:eastAsia="Lucida Sans Unicode" w:hAnsi="Monotype Corsiva" w:cstheme="majorBidi"/>
          <w:color w:val="FFC000"/>
          <w:sz w:val="144"/>
          <w:szCs w:val="144"/>
          <w:lang w:eastAsia="zh-CN"/>
        </w:rPr>
        <w:t>2019</w:t>
      </w:r>
    </w:p>
    <w:p w:rsidR="00C946AA" w:rsidRDefault="00C946AA" w:rsidP="00C946AA">
      <w:pPr>
        <w:keepNext/>
        <w:keepLines/>
        <w:spacing w:before="240" w:after="0"/>
        <w:outlineLvl w:val="0"/>
        <w:rPr>
          <w:rFonts w:asciiTheme="majorHAnsi" w:eastAsia="Lucida Sans Unicode" w:hAnsiTheme="majorHAnsi" w:cstheme="majorBidi"/>
          <w:color w:val="2E74B5" w:themeColor="accent1" w:themeShade="BF"/>
          <w:sz w:val="32"/>
          <w:szCs w:val="32"/>
          <w:lang w:eastAsia="zh-CN"/>
        </w:rPr>
      </w:pPr>
    </w:p>
    <w:p w:rsidR="00C946AA" w:rsidRPr="00F33138" w:rsidRDefault="00F33138" w:rsidP="00F33138">
      <w:pPr>
        <w:keepNext/>
        <w:keepLines/>
        <w:spacing w:before="240" w:after="0"/>
        <w:jc w:val="center"/>
        <w:outlineLvl w:val="0"/>
        <w:rPr>
          <w:rFonts w:ascii="Monotype Corsiva" w:eastAsia="Lucida Sans Unicode" w:hAnsi="Monotype Corsiva" w:cstheme="majorBidi"/>
          <w:b/>
          <w:color w:val="FFC000"/>
          <w:sz w:val="52"/>
          <w:szCs w:val="52"/>
          <w:lang w:eastAsia="zh-CN"/>
        </w:rPr>
      </w:pPr>
      <w:r w:rsidRPr="00F33138">
        <w:rPr>
          <w:rFonts w:ascii="Monotype Corsiva" w:eastAsia="Lucida Sans Unicode" w:hAnsi="Monotype Corsiva" w:cstheme="majorBidi"/>
          <w:b/>
          <w:color w:val="FFC000"/>
          <w:sz w:val="52"/>
          <w:szCs w:val="52"/>
          <w:lang w:eastAsia="zh-CN"/>
        </w:rPr>
        <w:t>Domov pro seniory</w:t>
      </w:r>
    </w:p>
    <w:p w:rsidR="00F33138" w:rsidRPr="00F33138" w:rsidRDefault="00F33138" w:rsidP="00F33138">
      <w:pPr>
        <w:keepNext/>
        <w:keepLines/>
        <w:spacing w:before="240" w:after="0"/>
        <w:jc w:val="center"/>
        <w:outlineLvl w:val="0"/>
        <w:rPr>
          <w:rFonts w:ascii="Monotype Corsiva" w:eastAsia="Lucida Sans Unicode" w:hAnsi="Monotype Corsiva" w:cstheme="majorBidi"/>
          <w:b/>
          <w:color w:val="FFC000"/>
          <w:sz w:val="52"/>
          <w:szCs w:val="52"/>
          <w:lang w:eastAsia="zh-CN"/>
        </w:rPr>
      </w:pPr>
      <w:r w:rsidRPr="00F33138">
        <w:rPr>
          <w:rFonts w:ascii="Monotype Corsiva" w:eastAsia="Lucida Sans Unicode" w:hAnsi="Monotype Corsiva" w:cstheme="majorBidi"/>
          <w:b/>
          <w:color w:val="FFC000"/>
          <w:sz w:val="52"/>
          <w:szCs w:val="52"/>
          <w:lang w:eastAsia="zh-CN"/>
        </w:rPr>
        <w:t>Tř. T. G. Masaryka 272</w:t>
      </w:r>
    </w:p>
    <w:p w:rsidR="00F33138" w:rsidRPr="00F33138" w:rsidRDefault="00F33138" w:rsidP="00F33138">
      <w:pPr>
        <w:keepNext/>
        <w:keepLines/>
        <w:spacing w:before="240" w:after="0"/>
        <w:jc w:val="center"/>
        <w:outlineLvl w:val="0"/>
        <w:rPr>
          <w:rFonts w:ascii="Monotype Corsiva" w:eastAsia="Lucida Sans Unicode" w:hAnsi="Monotype Corsiva" w:cstheme="majorBidi"/>
          <w:b/>
          <w:color w:val="FFC000"/>
          <w:sz w:val="52"/>
          <w:szCs w:val="52"/>
          <w:lang w:eastAsia="zh-CN"/>
        </w:rPr>
      </w:pPr>
      <w:r w:rsidRPr="00F33138">
        <w:rPr>
          <w:rFonts w:ascii="Monotype Corsiva" w:eastAsia="Lucida Sans Unicode" w:hAnsi="Monotype Corsiva" w:cstheme="majorBidi"/>
          <w:b/>
          <w:color w:val="FFC000"/>
          <w:sz w:val="52"/>
          <w:szCs w:val="52"/>
          <w:lang w:eastAsia="zh-CN"/>
        </w:rPr>
        <w:t>388 01 Blatná</w:t>
      </w:r>
    </w:p>
    <w:p w:rsidR="00C946AA" w:rsidRDefault="00C946AA" w:rsidP="00C946AA">
      <w:pPr>
        <w:keepNext/>
        <w:keepLines/>
        <w:spacing w:before="240" w:after="0"/>
        <w:outlineLvl w:val="0"/>
        <w:rPr>
          <w:rFonts w:asciiTheme="majorHAnsi" w:eastAsia="Lucida Sans Unicode" w:hAnsiTheme="majorHAnsi" w:cstheme="majorBidi"/>
          <w:color w:val="2E74B5" w:themeColor="accent1" w:themeShade="BF"/>
          <w:sz w:val="32"/>
          <w:szCs w:val="32"/>
          <w:lang w:eastAsia="zh-CN"/>
        </w:rPr>
      </w:pPr>
    </w:p>
    <w:p w:rsidR="00F33138" w:rsidRDefault="00F33138" w:rsidP="00C946AA">
      <w:pPr>
        <w:keepNext/>
        <w:keepLines/>
        <w:spacing w:before="240" w:after="0"/>
        <w:outlineLvl w:val="0"/>
        <w:rPr>
          <w:rFonts w:asciiTheme="majorHAnsi" w:eastAsia="Lucida Sans Unicode" w:hAnsiTheme="majorHAnsi" w:cstheme="majorBidi"/>
          <w:color w:val="2E74B5" w:themeColor="accent1" w:themeShade="BF"/>
          <w:sz w:val="32"/>
          <w:szCs w:val="32"/>
          <w:lang w:eastAsia="zh-CN"/>
        </w:rPr>
      </w:pPr>
    </w:p>
    <w:p w:rsidR="00C946AA" w:rsidRPr="00C946AA" w:rsidRDefault="00C946AA" w:rsidP="00C946AA">
      <w:pPr>
        <w:keepNext/>
        <w:keepLines/>
        <w:spacing w:before="240" w:after="0"/>
        <w:outlineLvl w:val="0"/>
        <w:rPr>
          <w:rFonts w:asciiTheme="majorHAnsi" w:eastAsia="Lucida Sans Unicode" w:hAnsiTheme="majorHAnsi" w:cstheme="majorBidi"/>
          <w:color w:val="2E74B5" w:themeColor="accent1" w:themeShade="BF"/>
          <w:sz w:val="32"/>
          <w:szCs w:val="32"/>
          <w:lang w:eastAsia="zh-CN"/>
        </w:rPr>
      </w:pPr>
      <w:r w:rsidRPr="00C946AA">
        <w:rPr>
          <w:rFonts w:asciiTheme="majorHAnsi" w:eastAsia="Lucida Sans Unicode" w:hAnsiTheme="majorHAnsi" w:cstheme="majorBidi"/>
          <w:color w:val="2E74B5" w:themeColor="accent1" w:themeShade="BF"/>
          <w:sz w:val="32"/>
          <w:szCs w:val="32"/>
          <w:lang w:eastAsia="zh-CN"/>
        </w:rPr>
        <w:lastRenderedPageBreak/>
        <w:t>Základní informace</w:t>
      </w:r>
    </w:p>
    <w:p w:rsidR="00C946AA" w:rsidRPr="00C946AA" w:rsidRDefault="00C946AA" w:rsidP="00F33138">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b/>
          <w:sz w:val="24"/>
          <w:szCs w:val="24"/>
          <w:lang w:eastAsia="zh-CN"/>
        </w:rPr>
        <w:t>Název:</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Domov pro seniory</w:t>
      </w:r>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b/>
          <w:sz w:val="24"/>
          <w:szCs w:val="24"/>
          <w:lang w:eastAsia="zh-CN"/>
        </w:rPr>
        <w:t>Služby:</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Domov pro seniory</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(pobytová služba)</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Pečovatelská služba</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(terénní a ambulantní forma)</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Půjčovna kompenzačních pomůcek</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b/>
          <w:sz w:val="24"/>
          <w:szCs w:val="24"/>
          <w:lang w:eastAsia="zh-CN"/>
        </w:rPr>
      </w:pPr>
      <w:r w:rsidRPr="00C946AA">
        <w:rPr>
          <w:rFonts w:ascii="Times New Roman" w:eastAsia="Lucida Sans Unicode" w:hAnsi="Times New Roman" w:cs="Times New Roman"/>
          <w:b/>
          <w:sz w:val="24"/>
          <w:szCs w:val="24"/>
          <w:lang w:eastAsia="zh-CN"/>
        </w:rPr>
        <w:t>Právní forma:</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příspěvková organizace</w:t>
      </w:r>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b/>
          <w:sz w:val="24"/>
          <w:szCs w:val="24"/>
          <w:lang w:eastAsia="zh-CN"/>
        </w:rPr>
      </w:pPr>
      <w:r w:rsidRPr="00C946AA">
        <w:rPr>
          <w:rFonts w:ascii="Times New Roman" w:eastAsia="Lucida Sans Unicode" w:hAnsi="Times New Roman" w:cs="Times New Roman"/>
          <w:b/>
          <w:sz w:val="24"/>
          <w:szCs w:val="24"/>
          <w:lang w:eastAsia="zh-CN"/>
        </w:rPr>
        <w:t>Statutární zástupce:</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 xml:space="preserve">Mgr. Hana </w:t>
      </w:r>
      <w:proofErr w:type="spellStart"/>
      <w:r w:rsidRPr="00C946AA">
        <w:rPr>
          <w:rFonts w:ascii="Times New Roman" w:eastAsia="Lucida Sans Unicode" w:hAnsi="Times New Roman" w:cs="Times New Roman"/>
          <w:sz w:val="24"/>
          <w:szCs w:val="24"/>
          <w:lang w:eastAsia="zh-CN"/>
        </w:rPr>
        <w:t>Baušová</w:t>
      </w:r>
      <w:proofErr w:type="spellEnd"/>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b/>
          <w:sz w:val="24"/>
          <w:szCs w:val="24"/>
          <w:lang w:eastAsia="zh-CN"/>
        </w:rPr>
        <w:t>Tel:</w:t>
      </w:r>
      <w:r w:rsidRPr="00C946AA">
        <w:rPr>
          <w:rFonts w:ascii="Times New Roman" w:eastAsia="Lucida Sans Unicode" w:hAnsi="Times New Roman" w:cs="Times New Roman"/>
          <w:sz w:val="24"/>
          <w:szCs w:val="24"/>
          <w:lang w:eastAsia="zh-CN"/>
        </w:rPr>
        <w:t xml:space="preserve"> </w:t>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380 706 210</w:t>
      </w:r>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b/>
          <w:sz w:val="24"/>
          <w:szCs w:val="24"/>
          <w:lang w:eastAsia="zh-CN"/>
        </w:rPr>
      </w:pPr>
      <w:r w:rsidRPr="00C946AA">
        <w:rPr>
          <w:rFonts w:ascii="Times New Roman" w:eastAsia="Lucida Sans Unicode" w:hAnsi="Times New Roman" w:cs="Times New Roman"/>
          <w:b/>
          <w:sz w:val="24"/>
          <w:szCs w:val="24"/>
          <w:lang w:eastAsia="zh-CN"/>
        </w:rPr>
        <w:t>Web:</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hyperlink r:id="rId8" w:history="1">
        <w:r w:rsidRPr="00C946AA">
          <w:rPr>
            <w:rFonts w:ascii="Times New Roman" w:eastAsia="Lucida Sans Unicode" w:hAnsi="Times New Roman" w:cs="Times New Roman"/>
            <w:sz w:val="24"/>
            <w:szCs w:val="24"/>
            <w:lang w:eastAsia="zh-CN"/>
          </w:rPr>
          <w:t>www.domovblatna.cz</w:t>
        </w:r>
      </w:hyperlink>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b/>
          <w:sz w:val="24"/>
          <w:szCs w:val="24"/>
          <w:lang w:eastAsia="zh-CN"/>
        </w:rPr>
      </w:pPr>
      <w:r w:rsidRPr="00C946AA">
        <w:rPr>
          <w:rFonts w:ascii="Times New Roman" w:eastAsia="Lucida Sans Unicode" w:hAnsi="Times New Roman" w:cs="Times New Roman"/>
          <w:b/>
          <w:sz w:val="24"/>
          <w:szCs w:val="24"/>
          <w:lang w:eastAsia="zh-CN"/>
        </w:rPr>
        <w:t>Identifikační číslo služby:</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4274986 (domov pro seniory)</w:t>
      </w:r>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4423601 (pečovatelská služba)</w:t>
      </w:r>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b/>
          <w:sz w:val="24"/>
          <w:szCs w:val="24"/>
          <w:lang w:eastAsia="zh-CN"/>
        </w:rPr>
      </w:pPr>
      <w:r w:rsidRPr="00C946AA">
        <w:rPr>
          <w:rFonts w:ascii="Times New Roman" w:eastAsia="Lucida Sans Unicode" w:hAnsi="Times New Roman" w:cs="Times New Roman"/>
          <w:b/>
          <w:sz w:val="24"/>
          <w:szCs w:val="24"/>
          <w:lang w:eastAsia="zh-CN"/>
        </w:rPr>
        <w:t>IČO:</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00668109</w:t>
      </w:r>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b/>
          <w:sz w:val="24"/>
          <w:szCs w:val="24"/>
          <w:lang w:eastAsia="zh-CN"/>
        </w:rPr>
        <w:t>Bankovní spojení:</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 xml:space="preserve">Komerční banka, a. s. </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pobočka Blatná</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Číslo účtu: 115-3420270297/0100</w:t>
      </w:r>
    </w:p>
    <w:p w:rsidR="00C946AA" w:rsidRPr="00C946AA" w:rsidRDefault="00C946AA" w:rsidP="00C946AA">
      <w:pPr>
        <w:widowControl w:val="0"/>
        <w:suppressAutoHyphens/>
        <w:spacing w:after="0" w:line="276" w:lineRule="auto"/>
        <w:rPr>
          <w:rFonts w:ascii="Times New Roman" w:eastAsia="Lucida Sans Unicode" w:hAnsi="Times New Roman" w:cs="Times New Roman"/>
          <w:b/>
          <w:sz w:val="24"/>
          <w:szCs w:val="24"/>
          <w:lang w:eastAsia="zh-CN"/>
        </w:rPr>
      </w:pPr>
    </w:p>
    <w:p w:rsidR="00C946AA" w:rsidRPr="00C946AA" w:rsidRDefault="00C946AA" w:rsidP="00F33138">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b/>
          <w:sz w:val="24"/>
          <w:szCs w:val="24"/>
          <w:lang w:eastAsia="zh-CN"/>
        </w:rPr>
        <w:t>Zřizovatel:</w:t>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b/>
          <w:sz w:val="24"/>
          <w:szCs w:val="24"/>
          <w:lang w:eastAsia="zh-CN"/>
        </w:rPr>
        <w:tab/>
      </w:r>
      <w:r w:rsidRPr="00C946AA">
        <w:rPr>
          <w:rFonts w:ascii="Times New Roman" w:eastAsia="Lucida Sans Unicode" w:hAnsi="Times New Roman" w:cs="Times New Roman"/>
          <w:sz w:val="24"/>
          <w:szCs w:val="24"/>
          <w:lang w:eastAsia="zh-CN"/>
        </w:rPr>
        <w:t>Město Blatná</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tř. T. G. Masaryka 322</w:t>
      </w:r>
    </w:p>
    <w:p w:rsidR="00C946AA" w:rsidRPr="00C946AA" w:rsidRDefault="00C946AA" w:rsidP="00C946AA">
      <w:pPr>
        <w:widowControl w:val="0"/>
        <w:suppressAutoHyphens/>
        <w:spacing w:after="0" w:line="276" w:lineRule="auto"/>
        <w:rPr>
          <w:rFonts w:ascii="Times New Roman" w:eastAsia="Lucida Sans Unicode" w:hAnsi="Times New Roman" w:cs="Times New Roman"/>
          <w:sz w:val="24"/>
          <w:szCs w:val="24"/>
          <w:lang w:eastAsia="zh-CN"/>
        </w:rPr>
      </w:pP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r>
      <w:r w:rsidRPr="00C946AA">
        <w:rPr>
          <w:rFonts w:ascii="Times New Roman" w:eastAsia="Lucida Sans Unicode" w:hAnsi="Times New Roman" w:cs="Times New Roman"/>
          <w:sz w:val="24"/>
          <w:szCs w:val="24"/>
          <w:lang w:eastAsia="zh-CN"/>
        </w:rPr>
        <w:tab/>
        <w:t>Blatná 388 01</w:t>
      </w:r>
    </w:p>
    <w:p w:rsidR="00C946AA" w:rsidRPr="00C946AA" w:rsidRDefault="00C946AA" w:rsidP="00C946AA">
      <w:pPr>
        <w:spacing w:before="360" w:after="600" w:line="360" w:lineRule="auto"/>
        <w:ind w:right="144"/>
        <w:jc w:val="both"/>
        <w:rPr>
          <w:rFonts w:ascii="Times New Roman" w:eastAsia="Lucida Sans Unicode" w:hAnsi="Times New Roman" w:cs="Times New Roman"/>
          <w:i/>
          <w:sz w:val="24"/>
          <w:szCs w:val="24"/>
          <w:lang w:eastAsia="zh-CN"/>
        </w:rPr>
        <w:sectPr w:rsidR="00C946AA" w:rsidRPr="00C946AA" w:rsidSect="00943BDC">
          <w:headerReference w:type="default" r:id="rId9"/>
          <w:pgSz w:w="11907" w:h="16839" w:code="9"/>
          <w:pgMar w:top="1417" w:right="1417" w:bottom="1417" w:left="1417" w:header="1148" w:footer="709" w:gutter="0"/>
          <w:pgNumType w:fmt="lowerRoman" w:start="0"/>
          <w:cols w:space="720"/>
          <w:titlePg/>
          <w:docGrid w:linePitch="360"/>
        </w:sectPr>
      </w:pPr>
      <w:r w:rsidRPr="00C946AA">
        <w:rPr>
          <w:rFonts w:ascii="Times New Roman" w:hAnsi="Times New Roman" w:cs="Times New Roman"/>
          <w:b/>
          <w:bCs/>
          <w:i/>
          <w:iCs/>
          <w:color w:val="000000"/>
          <w:kern w:val="20"/>
          <w:sz w:val="24"/>
          <w:szCs w:val="24"/>
          <w:lang w:eastAsia="cs-CZ"/>
        </w:rPr>
        <w:t>Posláním Domova pro seniory v Blatné</w:t>
      </w:r>
      <w:r>
        <w:rPr>
          <w:rFonts w:ascii="Times New Roman" w:hAnsi="Times New Roman" w:cs="Times New Roman"/>
          <w:i/>
          <w:iCs/>
          <w:color w:val="000000"/>
          <w:kern w:val="20"/>
          <w:sz w:val="24"/>
          <w:szCs w:val="24"/>
          <w:lang w:eastAsia="cs-CZ"/>
        </w:rPr>
        <w:t> je p</w:t>
      </w:r>
      <w:r w:rsidRPr="00C946AA">
        <w:rPr>
          <w:rFonts w:ascii="Times New Roman" w:hAnsi="Times New Roman" w:cs="Times New Roman"/>
          <w:i/>
          <w:color w:val="000000"/>
          <w:sz w:val="24"/>
          <w:szCs w:val="24"/>
          <w:shd w:val="clear" w:color="auto" w:fill="FFFFFF"/>
        </w:rPr>
        <w:t>oskytovat kvalitní pobytové sociální, ošetřovatelské a zdravotní služby seniorům, kteří potřebují velkou míru podpory a pomoci při zvládání běžných denních činností. Umožňujeme klientům důstojně a harmonicky prožít stáří ve vlídném, bezpečném a motivujícím prostředí. Náš klient je ve středu veškerého dění, podporujeme jeho schopnosti, individuální potřeby, přání a rozvíjíme mezigenerační vztahy.</w:t>
      </w:r>
    </w:p>
    <w:p w:rsidR="00C946AA" w:rsidRPr="00C946AA" w:rsidRDefault="00C946AA" w:rsidP="00C946AA">
      <w:pPr>
        <w:keepNext/>
        <w:keepLines/>
        <w:spacing w:before="240" w:after="0"/>
        <w:outlineLvl w:val="0"/>
        <w:rPr>
          <w:rFonts w:asciiTheme="majorHAnsi" w:eastAsiaTheme="majorEastAsia" w:hAnsiTheme="majorHAnsi" w:cstheme="majorBidi"/>
          <w:color w:val="2E74B5" w:themeColor="accent1" w:themeShade="BF"/>
          <w:sz w:val="32"/>
          <w:szCs w:val="32"/>
        </w:rPr>
      </w:pPr>
      <w:r w:rsidRPr="00C946AA">
        <w:rPr>
          <w:rFonts w:asciiTheme="majorHAnsi" w:eastAsiaTheme="majorEastAsia" w:hAnsiTheme="majorHAnsi" w:cstheme="majorBidi"/>
          <w:color w:val="2E74B5" w:themeColor="accent1" w:themeShade="BF"/>
          <w:sz w:val="32"/>
          <w:szCs w:val="32"/>
        </w:rPr>
        <w:lastRenderedPageBreak/>
        <w:t>Kontakty</w:t>
      </w:r>
    </w:p>
    <w:p w:rsidR="00C946AA" w:rsidRPr="00C946AA" w:rsidRDefault="00C946AA" w:rsidP="00C946AA">
      <w:pPr>
        <w:spacing w:before="240" w:after="120" w:line="240" w:lineRule="auto"/>
        <w:outlineLvl w:val="3"/>
        <w:rPr>
          <w:rFonts w:ascii="Times New Roman" w:eastAsia="Times New Roman" w:hAnsi="Times New Roman" w:cs="Times New Roman"/>
          <w:b/>
          <w:bCs/>
          <w:color w:val="06054A"/>
          <w:sz w:val="24"/>
          <w:szCs w:val="24"/>
          <w:lang w:eastAsia="cs-CZ"/>
        </w:rPr>
      </w:pPr>
      <w:r w:rsidRPr="00C946AA">
        <w:rPr>
          <w:rFonts w:ascii="Times New Roman" w:eastAsia="Times New Roman" w:hAnsi="Times New Roman" w:cs="Times New Roman"/>
          <w:b/>
          <w:bCs/>
          <w:color w:val="06054A"/>
          <w:sz w:val="24"/>
          <w:szCs w:val="24"/>
          <w:lang w:eastAsia="cs-CZ"/>
        </w:rPr>
        <w:t>Recepce </w:t>
      </w:r>
    </w:p>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b/>
          <w:bCs/>
          <w:color w:val="000000"/>
          <w:sz w:val="24"/>
          <w:szCs w:val="24"/>
          <w:lang w:eastAsia="cs-CZ"/>
        </w:rPr>
        <w:t>380 706 210</w:t>
      </w:r>
    </w:p>
    <w:p w:rsidR="00C946AA" w:rsidRPr="00C946AA" w:rsidRDefault="00C946AA" w:rsidP="00C946AA">
      <w:pPr>
        <w:spacing w:before="240" w:after="120" w:line="240" w:lineRule="auto"/>
        <w:outlineLvl w:val="3"/>
        <w:rPr>
          <w:rFonts w:ascii="Times New Roman" w:eastAsia="Times New Roman" w:hAnsi="Times New Roman" w:cs="Times New Roman"/>
          <w:b/>
          <w:bCs/>
          <w:color w:val="06054A"/>
          <w:sz w:val="24"/>
          <w:szCs w:val="24"/>
          <w:lang w:eastAsia="cs-CZ"/>
        </w:rPr>
      </w:pPr>
      <w:r w:rsidRPr="00C946AA">
        <w:rPr>
          <w:rFonts w:ascii="Times New Roman" w:eastAsia="Times New Roman" w:hAnsi="Times New Roman" w:cs="Times New Roman"/>
          <w:b/>
          <w:bCs/>
          <w:color w:val="06054A"/>
          <w:sz w:val="24"/>
          <w:szCs w:val="24"/>
          <w:lang w:eastAsia="cs-CZ"/>
        </w:rPr>
        <w:t>Podatelna</w:t>
      </w:r>
    </w:p>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b/>
          <w:bCs/>
          <w:color w:val="000000"/>
          <w:sz w:val="24"/>
          <w:szCs w:val="24"/>
          <w:lang w:eastAsia="cs-CZ"/>
        </w:rPr>
        <w:t>380 706 211</w:t>
      </w:r>
    </w:p>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Úřední hodiny: pondělí – pátek 8,00 – 14,00 hodin</w:t>
      </w:r>
      <w:r w:rsidRPr="00C946AA">
        <w:rPr>
          <w:rFonts w:ascii="Times New Roman" w:eastAsia="Times New Roman" w:hAnsi="Times New Roman" w:cs="Times New Roman"/>
          <w:color w:val="000000"/>
          <w:sz w:val="24"/>
          <w:szCs w:val="24"/>
          <w:lang w:eastAsia="cs-CZ"/>
        </w:rPr>
        <w:br/>
        <w:t>ID datové schránky: mjzkik6</w:t>
      </w:r>
      <w:r w:rsidRPr="00C946AA">
        <w:rPr>
          <w:rFonts w:ascii="Times New Roman" w:eastAsia="Times New Roman" w:hAnsi="Times New Roman" w:cs="Times New Roman"/>
          <w:color w:val="000000"/>
          <w:sz w:val="24"/>
          <w:szCs w:val="24"/>
          <w:lang w:eastAsia="cs-CZ"/>
        </w:rPr>
        <w:br/>
      </w:r>
    </w:p>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b/>
          <w:bCs/>
          <w:color w:val="000000"/>
          <w:sz w:val="24"/>
          <w:szCs w:val="24"/>
          <w:u w:val="single"/>
          <w:lang w:eastAsia="cs-CZ"/>
        </w:rPr>
        <w:t>Pověřenec</w:t>
      </w:r>
    </w:p>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V souladu s </w:t>
      </w:r>
      <w:hyperlink r:id="rId10" w:tgtFrame="_blank" w:tooltip=" [nové okno]" w:history="1">
        <w:r w:rsidRPr="00C946AA">
          <w:rPr>
            <w:rFonts w:ascii="Times New Roman" w:eastAsia="Times New Roman" w:hAnsi="Times New Roman" w:cs="Times New Roman"/>
            <w:sz w:val="24"/>
            <w:szCs w:val="24"/>
            <w:lang w:eastAsia="cs-CZ"/>
          </w:rPr>
          <w:t>Nařízením (EU) 2016/679 (GDPR)</w:t>
        </w:r>
      </w:hyperlink>
      <w:r w:rsidRPr="00C946AA">
        <w:rPr>
          <w:rFonts w:ascii="Times New Roman" w:eastAsia="Times New Roman" w:hAnsi="Times New Roman" w:cs="Times New Roman"/>
          <w:sz w:val="24"/>
          <w:szCs w:val="24"/>
          <w:lang w:eastAsia="cs-CZ"/>
        </w:rPr>
        <w:t>,  </w:t>
      </w:r>
      <w:r w:rsidRPr="00C946AA">
        <w:rPr>
          <w:rFonts w:ascii="Times New Roman" w:eastAsia="Times New Roman" w:hAnsi="Times New Roman" w:cs="Times New Roman"/>
          <w:color w:val="000000"/>
          <w:sz w:val="24"/>
          <w:szCs w:val="24"/>
          <w:lang w:eastAsia="cs-CZ"/>
        </w:rPr>
        <w:t>oznamujeme název pověřence:</w:t>
      </w:r>
    </w:p>
    <w:tbl>
      <w:tblPr>
        <w:tblW w:w="0" w:type="auto"/>
        <w:jc w:val="center"/>
        <w:tblBorders>
          <w:top w:val="outset" w:sz="6" w:space="0" w:color="9D9D9D"/>
          <w:left w:val="outset" w:sz="6" w:space="0" w:color="9D9D9D"/>
          <w:bottom w:val="outset" w:sz="6" w:space="0" w:color="9D9D9D"/>
          <w:right w:val="outset" w:sz="6" w:space="0" w:color="9D9D9D"/>
        </w:tblBorders>
        <w:tblCellMar>
          <w:left w:w="0" w:type="dxa"/>
          <w:right w:w="0" w:type="dxa"/>
        </w:tblCellMar>
        <w:tblLook w:val="04A0" w:firstRow="1" w:lastRow="0" w:firstColumn="1" w:lastColumn="0" w:noHBand="0" w:noVBand="1"/>
      </w:tblPr>
      <w:tblGrid>
        <w:gridCol w:w="3645"/>
        <w:gridCol w:w="5565"/>
      </w:tblGrid>
      <w:tr w:rsidR="00C946AA" w:rsidRPr="00C946AA" w:rsidTr="00943BDC">
        <w:trPr>
          <w:jc w:val="center"/>
        </w:trPr>
        <w:tc>
          <w:tcPr>
            <w:tcW w:w="364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Název pověřence</w:t>
            </w:r>
          </w:p>
        </w:tc>
        <w:tc>
          <w:tcPr>
            <w:tcW w:w="556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Svazek obcí Blatenska</w:t>
            </w:r>
          </w:p>
        </w:tc>
      </w:tr>
      <w:tr w:rsidR="00C946AA" w:rsidRPr="00C946AA" w:rsidTr="00943BDC">
        <w:trPr>
          <w:jc w:val="center"/>
        </w:trPr>
        <w:tc>
          <w:tcPr>
            <w:tcW w:w="364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Adresa sídla</w:t>
            </w:r>
          </w:p>
        </w:tc>
        <w:tc>
          <w:tcPr>
            <w:tcW w:w="556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J. P. Koubka 4, 388 01  Blatná</w:t>
            </w:r>
          </w:p>
        </w:tc>
      </w:tr>
      <w:tr w:rsidR="00C946AA" w:rsidRPr="00C946AA" w:rsidTr="00943BDC">
        <w:trPr>
          <w:jc w:val="center"/>
        </w:trPr>
        <w:tc>
          <w:tcPr>
            <w:tcW w:w="364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Adresa pro doručování</w:t>
            </w:r>
          </w:p>
        </w:tc>
        <w:tc>
          <w:tcPr>
            <w:tcW w:w="556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Na Tržišti 727, 388 01  Blatná</w:t>
            </w:r>
          </w:p>
        </w:tc>
      </w:tr>
      <w:tr w:rsidR="00C946AA" w:rsidRPr="00C946AA" w:rsidTr="00943BDC">
        <w:trPr>
          <w:jc w:val="center"/>
        </w:trPr>
        <w:tc>
          <w:tcPr>
            <w:tcW w:w="364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IČ</w:t>
            </w:r>
          </w:p>
        </w:tc>
        <w:tc>
          <w:tcPr>
            <w:tcW w:w="556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68538189</w:t>
            </w:r>
          </w:p>
        </w:tc>
      </w:tr>
      <w:tr w:rsidR="00C946AA" w:rsidRPr="00C946AA" w:rsidTr="00943BDC">
        <w:trPr>
          <w:jc w:val="center"/>
        </w:trPr>
        <w:tc>
          <w:tcPr>
            <w:tcW w:w="364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Kontaktní osoba</w:t>
            </w:r>
          </w:p>
        </w:tc>
        <w:tc>
          <w:tcPr>
            <w:tcW w:w="5565" w:type="dxa"/>
            <w:tcBorders>
              <w:top w:val="outset" w:sz="6" w:space="0" w:color="9D9D9D"/>
              <w:left w:val="outset" w:sz="6" w:space="0" w:color="9D9D9D"/>
              <w:bottom w:val="outset" w:sz="6" w:space="0" w:color="9D9D9D"/>
              <w:right w:val="outset" w:sz="6" w:space="0" w:color="9D9D9D"/>
            </w:tcBorders>
            <w:shd w:val="clear" w:color="auto" w:fill="auto"/>
            <w:tcMar>
              <w:top w:w="45" w:type="dxa"/>
              <w:left w:w="45" w:type="dxa"/>
              <w:bottom w:w="45" w:type="dxa"/>
              <w:right w:w="45" w:type="dxa"/>
            </w:tcMar>
            <w:vAlign w:val="center"/>
            <w:hideMark/>
          </w:tcPr>
          <w:p w:rsidR="00C946AA" w:rsidRPr="00C946AA" w:rsidRDefault="00C946AA" w:rsidP="00C946AA">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Mgr. Michaela Vohryzková, projektcss@blatensko.eu,</w:t>
            </w:r>
            <w:r w:rsidRPr="00C946AA">
              <w:rPr>
                <w:rFonts w:ascii="Times New Roman" w:eastAsia="Times New Roman" w:hAnsi="Times New Roman" w:cs="Times New Roman"/>
                <w:color w:val="000000"/>
                <w:sz w:val="24"/>
                <w:szCs w:val="24"/>
                <w:lang w:eastAsia="cs-CZ"/>
              </w:rPr>
              <w:br/>
              <w:t>tel. 728 885 052</w:t>
            </w:r>
          </w:p>
        </w:tc>
      </w:tr>
    </w:tbl>
    <w:p w:rsidR="00FA2356" w:rsidRDefault="00C946AA" w:rsidP="00FA2356">
      <w:pPr>
        <w:spacing w:after="165" w:line="240" w:lineRule="auto"/>
        <w:rPr>
          <w:rFonts w:ascii="Times New Roman" w:eastAsia="Times New Roman" w:hAnsi="Times New Roman" w:cs="Times New Roman"/>
          <w:color w:val="000000"/>
          <w:sz w:val="24"/>
          <w:szCs w:val="24"/>
          <w:lang w:eastAsia="cs-CZ"/>
        </w:rPr>
      </w:pPr>
      <w:r w:rsidRPr="00C946AA">
        <w:rPr>
          <w:rFonts w:ascii="Times New Roman" w:eastAsia="Times New Roman" w:hAnsi="Times New Roman" w:cs="Times New Roman"/>
          <w:color w:val="000000"/>
          <w:sz w:val="24"/>
          <w:szCs w:val="24"/>
          <w:lang w:eastAsia="cs-CZ"/>
        </w:rPr>
        <w:t> </w:t>
      </w:r>
    </w:p>
    <w:p w:rsidR="00FA2356" w:rsidRPr="00FA2356" w:rsidRDefault="00FA2356" w:rsidP="00FA2356">
      <w:pPr>
        <w:spacing w:after="165" w:line="240" w:lineRule="auto"/>
        <w:rPr>
          <w:rFonts w:ascii="Times New Roman" w:eastAsia="Times New Roman" w:hAnsi="Times New Roman" w:cs="Times New Roman"/>
          <w:color w:val="000000"/>
          <w:sz w:val="24"/>
          <w:szCs w:val="24"/>
          <w:lang w:eastAsia="cs-CZ"/>
        </w:rPr>
      </w:pPr>
      <w:r w:rsidRPr="00FA2356">
        <w:rPr>
          <w:rFonts w:ascii="Times New Roman" w:eastAsia="Times New Roman" w:hAnsi="Times New Roman" w:cs="Times New Roman"/>
          <w:b/>
          <w:bCs/>
          <w:color w:val="000000"/>
          <w:sz w:val="24"/>
          <w:szCs w:val="24"/>
          <w:lang w:eastAsia="cs-CZ"/>
        </w:rPr>
        <w:t xml:space="preserve">Mgr. Hana </w:t>
      </w:r>
      <w:proofErr w:type="spellStart"/>
      <w:r w:rsidRPr="00FA2356">
        <w:rPr>
          <w:rFonts w:ascii="Times New Roman" w:eastAsia="Times New Roman" w:hAnsi="Times New Roman" w:cs="Times New Roman"/>
          <w:b/>
          <w:bCs/>
          <w:color w:val="000000"/>
          <w:sz w:val="24"/>
          <w:szCs w:val="24"/>
          <w:lang w:eastAsia="cs-CZ"/>
        </w:rPr>
        <w:t>Baušová</w:t>
      </w:r>
      <w:proofErr w:type="spellEnd"/>
      <w:r w:rsidRPr="00FA2356">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t xml:space="preserve">        </w:t>
      </w:r>
      <w:r w:rsidRPr="00FA2356">
        <w:rPr>
          <w:rFonts w:ascii="Times New Roman" w:eastAsia="Times New Roman" w:hAnsi="Times New Roman" w:cs="Times New Roman"/>
          <w:b/>
          <w:bCs/>
          <w:color w:val="000000"/>
          <w:sz w:val="24"/>
          <w:szCs w:val="24"/>
          <w:lang w:eastAsia="cs-CZ"/>
        </w:rPr>
        <w:t>Mgr. Markéta Tvrdá</w:t>
      </w:r>
      <w:r w:rsidRPr="00FA2356">
        <w:rPr>
          <w:rFonts w:ascii="Times New Roman" w:eastAsia="Times New Roman" w:hAnsi="Times New Roman" w:cs="Times New Roman"/>
          <w:color w:val="000000"/>
          <w:sz w:val="24"/>
          <w:szCs w:val="24"/>
          <w:lang w:eastAsia="cs-CZ"/>
        </w:rPr>
        <w:br/>
      </w:r>
      <w:r w:rsidRPr="00FA2356">
        <w:rPr>
          <w:rFonts w:ascii="Times New Roman" w:eastAsia="Times New Roman" w:hAnsi="Times New Roman" w:cs="Times New Roman"/>
          <w:b/>
          <w:bCs/>
          <w:color w:val="000000"/>
          <w:sz w:val="24"/>
          <w:szCs w:val="24"/>
          <w:lang w:eastAsia="cs-CZ"/>
        </w:rPr>
        <w:t>ředitel</w:t>
      </w:r>
      <w:r w:rsidRPr="00FA2356">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r>
      <w:r>
        <w:rPr>
          <w:rFonts w:ascii="Times New Roman" w:eastAsia="Times New Roman" w:hAnsi="Times New Roman" w:cs="Times New Roman"/>
          <w:b/>
          <w:bCs/>
          <w:color w:val="000000"/>
          <w:sz w:val="24"/>
          <w:szCs w:val="24"/>
          <w:lang w:eastAsia="cs-CZ"/>
        </w:rPr>
        <w:tab/>
        <w:t xml:space="preserve">        </w:t>
      </w:r>
      <w:r w:rsidRPr="00FA2356">
        <w:rPr>
          <w:rFonts w:ascii="Times New Roman" w:eastAsia="Times New Roman" w:hAnsi="Times New Roman" w:cs="Times New Roman"/>
          <w:b/>
          <w:bCs/>
          <w:color w:val="000000"/>
          <w:sz w:val="24"/>
          <w:szCs w:val="24"/>
          <w:lang w:eastAsia="cs-CZ"/>
        </w:rPr>
        <w:t>vedoucí zdravotně ošetřovatelského úseku</w:t>
      </w:r>
      <w:r w:rsidRPr="00FA2356">
        <w:rPr>
          <w:rFonts w:ascii="Times New Roman" w:eastAsia="Times New Roman" w:hAnsi="Times New Roman" w:cs="Times New Roman"/>
          <w:color w:val="000000"/>
          <w:sz w:val="24"/>
          <w:szCs w:val="24"/>
          <w:lang w:eastAsia="cs-CZ"/>
        </w:rPr>
        <w:br/>
      </w:r>
      <w:r w:rsidRPr="00FA2356">
        <w:rPr>
          <w:rFonts w:ascii="Times New Roman" w:eastAsia="Times New Roman" w:hAnsi="Times New Roman" w:cs="Times New Roman"/>
          <w:sz w:val="24"/>
          <w:szCs w:val="24"/>
          <w:lang w:eastAsia="cs-CZ"/>
        </w:rPr>
        <w:t>telefon: 380 706 215; 608 609 017</w:t>
      </w:r>
      <w:r w:rsidRPr="00FA2356">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FA2356">
        <w:rPr>
          <w:rFonts w:ascii="Times New Roman" w:eastAsia="Times New Roman" w:hAnsi="Times New Roman" w:cs="Times New Roman"/>
          <w:sz w:val="24"/>
          <w:szCs w:val="24"/>
          <w:lang w:eastAsia="cs-CZ"/>
        </w:rPr>
        <w:t>telefon: 380 706 224; 608 609 015</w:t>
      </w:r>
      <w:r w:rsidRPr="00FA2356">
        <w:rPr>
          <w:rFonts w:ascii="Times New Roman" w:eastAsia="Times New Roman" w:hAnsi="Times New Roman" w:cs="Times New Roman"/>
          <w:sz w:val="24"/>
          <w:szCs w:val="24"/>
          <w:lang w:eastAsia="cs-CZ"/>
        </w:rPr>
        <w:br/>
        <w:t>e-mail: </w:t>
      </w:r>
      <w:hyperlink r:id="rId11" w:history="1">
        <w:r w:rsidRPr="00FA2356">
          <w:rPr>
            <w:rFonts w:ascii="Times New Roman" w:eastAsia="Times New Roman" w:hAnsi="Times New Roman" w:cs="Times New Roman"/>
            <w:sz w:val="24"/>
            <w:szCs w:val="24"/>
            <w:lang w:eastAsia="cs-CZ"/>
          </w:rPr>
          <w:t>reditelka@domovblatna.cz</w:t>
        </w:r>
      </w:hyperlink>
      <w:r w:rsidRPr="00FA2356">
        <w:rPr>
          <w:rFonts w:ascii="Times New Roman" w:eastAsia="Times New Roman" w:hAnsi="Times New Roman" w:cs="Times New Roman"/>
          <w:sz w:val="24"/>
          <w:szCs w:val="24"/>
          <w:lang w:eastAsia="cs-CZ"/>
        </w:rPr>
        <w:tab/>
      </w:r>
      <w:r>
        <w:rPr>
          <w:rFonts w:ascii="Times New Roman" w:eastAsia="Times New Roman" w:hAnsi="Times New Roman" w:cs="Times New Roman"/>
          <w:sz w:val="24"/>
          <w:szCs w:val="24"/>
          <w:lang w:eastAsia="cs-CZ"/>
        </w:rPr>
        <w:t xml:space="preserve">                                </w:t>
      </w:r>
      <w:r w:rsidRPr="00FA2356">
        <w:rPr>
          <w:rFonts w:ascii="Times New Roman" w:eastAsia="Times New Roman" w:hAnsi="Times New Roman" w:cs="Times New Roman"/>
          <w:sz w:val="24"/>
          <w:szCs w:val="24"/>
          <w:lang w:eastAsia="cs-CZ"/>
        </w:rPr>
        <w:t>e-mail: </w:t>
      </w:r>
      <w:hyperlink r:id="rId12" w:history="1">
        <w:r w:rsidRPr="00FA2356">
          <w:rPr>
            <w:rFonts w:ascii="Times New Roman" w:eastAsia="Times New Roman" w:hAnsi="Times New Roman" w:cs="Times New Roman"/>
            <w:sz w:val="24"/>
            <w:szCs w:val="24"/>
            <w:lang w:eastAsia="cs-CZ"/>
          </w:rPr>
          <w:t>vrchnisestra@domovblatna.cz</w:t>
        </w:r>
      </w:hyperlink>
    </w:p>
    <w:p w:rsidR="00FA2356" w:rsidRPr="00FA2356" w:rsidRDefault="00FA2356" w:rsidP="00FA2356">
      <w:pPr>
        <w:spacing w:after="165" w:line="240" w:lineRule="auto"/>
        <w:rPr>
          <w:rFonts w:ascii="Times New Roman" w:eastAsia="Times New Roman" w:hAnsi="Times New Roman" w:cs="Times New Roman"/>
          <w:sz w:val="24"/>
          <w:szCs w:val="24"/>
          <w:lang w:eastAsia="cs-CZ"/>
        </w:rPr>
      </w:pPr>
      <w:r w:rsidRPr="00FA2356">
        <w:rPr>
          <w:rFonts w:ascii="Times New Roman" w:eastAsia="Times New Roman" w:hAnsi="Times New Roman" w:cs="Times New Roman"/>
          <w:b/>
          <w:bCs/>
          <w:sz w:val="24"/>
          <w:szCs w:val="24"/>
          <w:lang w:eastAsia="cs-CZ"/>
        </w:rPr>
        <w:t>Mgr. Lenka Fousová</w:t>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t xml:space="preserve">          Mgr. Anna Baťková</w:t>
      </w:r>
      <w:r w:rsidRPr="00FA2356">
        <w:rPr>
          <w:rFonts w:ascii="Times New Roman" w:eastAsia="Times New Roman" w:hAnsi="Times New Roman" w:cs="Times New Roman"/>
          <w:sz w:val="24"/>
          <w:szCs w:val="24"/>
          <w:lang w:eastAsia="cs-CZ"/>
        </w:rPr>
        <w:br/>
      </w:r>
      <w:r w:rsidRPr="00FA2356">
        <w:rPr>
          <w:rFonts w:ascii="Times New Roman" w:eastAsia="Times New Roman" w:hAnsi="Times New Roman" w:cs="Times New Roman"/>
          <w:b/>
          <w:bCs/>
          <w:sz w:val="24"/>
          <w:szCs w:val="24"/>
          <w:lang w:eastAsia="cs-CZ"/>
        </w:rPr>
        <w:t>vedoucí sociálního úseku</w:t>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t xml:space="preserve">          sociální pracovnice</w:t>
      </w:r>
      <w:r w:rsidRPr="00FA2356">
        <w:rPr>
          <w:rFonts w:ascii="Times New Roman" w:eastAsia="Times New Roman" w:hAnsi="Times New Roman" w:cs="Times New Roman"/>
          <w:sz w:val="24"/>
          <w:szCs w:val="24"/>
          <w:lang w:eastAsia="cs-CZ"/>
        </w:rPr>
        <w:br/>
        <w:t>telefon: 380 706 213; 608 609 018</w:t>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telefon: 380 706 213; 774 479 525</w:t>
      </w:r>
      <w:r w:rsidRPr="00FA2356">
        <w:rPr>
          <w:rFonts w:ascii="Times New Roman" w:eastAsia="Times New Roman" w:hAnsi="Times New Roman" w:cs="Times New Roman"/>
          <w:sz w:val="24"/>
          <w:szCs w:val="24"/>
          <w:lang w:eastAsia="cs-CZ"/>
        </w:rPr>
        <w:br/>
        <w:t>e-mail: </w:t>
      </w:r>
      <w:hyperlink r:id="rId13" w:history="1">
        <w:r w:rsidRPr="00FA2356">
          <w:rPr>
            <w:rFonts w:ascii="Times New Roman" w:eastAsia="Times New Roman" w:hAnsi="Times New Roman" w:cs="Times New Roman"/>
            <w:sz w:val="24"/>
            <w:szCs w:val="24"/>
            <w:lang w:eastAsia="cs-CZ"/>
          </w:rPr>
          <w:t>socialni@domovblatna.cz</w:t>
        </w:r>
      </w:hyperlink>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e-mail: </w:t>
      </w:r>
      <w:hyperlink r:id="rId14" w:history="1">
        <w:r w:rsidRPr="00FA2356">
          <w:rPr>
            <w:rFonts w:ascii="Times New Roman" w:eastAsia="Times New Roman" w:hAnsi="Times New Roman" w:cs="Times New Roman"/>
            <w:sz w:val="24"/>
            <w:szCs w:val="24"/>
            <w:lang w:eastAsia="cs-CZ"/>
          </w:rPr>
          <w:t>socialni@domovblatna.cz</w:t>
        </w:r>
      </w:hyperlink>
    </w:p>
    <w:p w:rsidR="00FA2356" w:rsidRPr="00FA2356" w:rsidRDefault="00FA2356" w:rsidP="00FA2356">
      <w:pPr>
        <w:spacing w:after="165" w:line="240" w:lineRule="auto"/>
        <w:rPr>
          <w:rFonts w:ascii="Times New Roman" w:eastAsia="Times New Roman" w:hAnsi="Times New Roman" w:cs="Times New Roman"/>
          <w:sz w:val="24"/>
          <w:szCs w:val="24"/>
          <w:lang w:eastAsia="cs-CZ"/>
        </w:rPr>
      </w:pPr>
      <w:r w:rsidRPr="00FA2356">
        <w:rPr>
          <w:rFonts w:ascii="Times New Roman" w:eastAsia="Times New Roman" w:hAnsi="Times New Roman" w:cs="Times New Roman"/>
          <w:b/>
          <w:bCs/>
          <w:sz w:val="24"/>
          <w:szCs w:val="24"/>
          <w:lang w:eastAsia="cs-CZ"/>
        </w:rPr>
        <w:t>Ing. Monika Vítová</w:t>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t xml:space="preserve">          Hana Červenková</w:t>
      </w:r>
      <w:r w:rsidRPr="00FA2356">
        <w:rPr>
          <w:rFonts w:ascii="Times New Roman" w:eastAsia="Times New Roman" w:hAnsi="Times New Roman" w:cs="Times New Roman"/>
          <w:sz w:val="24"/>
          <w:szCs w:val="24"/>
          <w:lang w:eastAsia="cs-CZ"/>
        </w:rPr>
        <w:br/>
      </w:r>
      <w:r w:rsidRPr="00FA2356">
        <w:rPr>
          <w:rFonts w:ascii="Times New Roman" w:eastAsia="Times New Roman" w:hAnsi="Times New Roman" w:cs="Times New Roman"/>
          <w:b/>
          <w:bCs/>
          <w:sz w:val="24"/>
          <w:szCs w:val="24"/>
          <w:lang w:eastAsia="cs-CZ"/>
        </w:rPr>
        <w:t>ekonom, zástupce ředitele</w:t>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t xml:space="preserve">          účetní</w:t>
      </w:r>
      <w:r w:rsidRPr="00FA2356">
        <w:rPr>
          <w:rFonts w:ascii="Times New Roman" w:eastAsia="Times New Roman" w:hAnsi="Times New Roman" w:cs="Times New Roman"/>
          <w:sz w:val="24"/>
          <w:szCs w:val="24"/>
          <w:lang w:eastAsia="cs-CZ"/>
        </w:rPr>
        <w:br/>
        <w:t>telefon: 380 706 212, 608 609 032</w:t>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telefon: 380 706 212</w:t>
      </w:r>
      <w:r w:rsidRPr="00FA2356">
        <w:rPr>
          <w:rFonts w:ascii="Times New Roman" w:eastAsia="Times New Roman" w:hAnsi="Times New Roman" w:cs="Times New Roman"/>
          <w:sz w:val="24"/>
          <w:szCs w:val="24"/>
          <w:lang w:eastAsia="cs-CZ"/>
        </w:rPr>
        <w:br/>
        <w:t>e-mail: </w:t>
      </w:r>
      <w:hyperlink r:id="rId15" w:history="1">
        <w:r w:rsidRPr="00FA2356">
          <w:rPr>
            <w:rFonts w:ascii="Times New Roman" w:eastAsia="Times New Roman" w:hAnsi="Times New Roman" w:cs="Times New Roman"/>
            <w:sz w:val="24"/>
            <w:szCs w:val="24"/>
            <w:lang w:eastAsia="cs-CZ"/>
          </w:rPr>
          <w:t>ekonom@domovblatna.cz</w:t>
        </w:r>
      </w:hyperlink>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e-mail: </w:t>
      </w:r>
      <w:hyperlink r:id="rId16" w:history="1">
        <w:r w:rsidRPr="00FA2356">
          <w:rPr>
            <w:rFonts w:ascii="Times New Roman" w:eastAsia="Times New Roman" w:hAnsi="Times New Roman" w:cs="Times New Roman"/>
            <w:sz w:val="24"/>
            <w:szCs w:val="24"/>
            <w:lang w:eastAsia="cs-CZ"/>
          </w:rPr>
          <w:t>ucetni.dsblatna@seznam.cz</w:t>
        </w:r>
      </w:hyperlink>
    </w:p>
    <w:p w:rsidR="00FA2356" w:rsidRPr="00FA2356" w:rsidRDefault="00FA2356" w:rsidP="00FA2356">
      <w:pPr>
        <w:spacing w:after="165" w:line="240" w:lineRule="auto"/>
        <w:rPr>
          <w:rFonts w:ascii="Times New Roman" w:eastAsia="Times New Roman" w:hAnsi="Times New Roman" w:cs="Times New Roman"/>
          <w:sz w:val="24"/>
          <w:szCs w:val="24"/>
          <w:lang w:eastAsia="cs-CZ"/>
        </w:rPr>
      </w:pPr>
      <w:r w:rsidRPr="00FA2356">
        <w:rPr>
          <w:rFonts w:ascii="Times New Roman" w:eastAsia="Times New Roman" w:hAnsi="Times New Roman" w:cs="Times New Roman"/>
          <w:b/>
          <w:bCs/>
          <w:sz w:val="24"/>
          <w:szCs w:val="24"/>
          <w:lang w:eastAsia="cs-CZ"/>
        </w:rPr>
        <w:t>Martina Bláhová</w:t>
      </w:r>
      <w:r>
        <w:rPr>
          <w:rFonts w:ascii="Times New Roman" w:eastAsia="Times New Roman" w:hAnsi="Times New Roman" w:cs="Times New Roman"/>
          <w:b/>
          <w:bCs/>
          <w:sz w:val="24"/>
          <w:szCs w:val="24"/>
          <w:lang w:eastAsia="cs-CZ"/>
        </w:rPr>
        <w:t>, DiS</w:t>
      </w: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r>
      <w:r>
        <w:rPr>
          <w:rFonts w:ascii="Times New Roman" w:eastAsia="Times New Roman" w:hAnsi="Times New Roman" w:cs="Times New Roman"/>
          <w:b/>
          <w:bCs/>
          <w:sz w:val="24"/>
          <w:szCs w:val="24"/>
          <w:lang w:eastAsia="cs-CZ"/>
        </w:rPr>
        <w:tab/>
        <w:t xml:space="preserve">          </w:t>
      </w:r>
      <w:r w:rsidRPr="00FA2356">
        <w:rPr>
          <w:rFonts w:ascii="Times New Roman" w:eastAsia="Times New Roman" w:hAnsi="Times New Roman" w:cs="Times New Roman"/>
          <w:b/>
          <w:bCs/>
          <w:sz w:val="24"/>
          <w:szCs w:val="24"/>
          <w:lang w:eastAsia="cs-CZ"/>
        </w:rPr>
        <w:t>Monika Potůčková</w:t>
      </w:r>
      <w:r w:rsidRPr="00FA2356">
        <w:rPr>
          <w:rFonts w:ascii="Times New Roman" w:eastAsia="Times New Roman" w:hAnsi="Times New Roman" w:cs="Times New Roman"/>
          <w:sz w:val="24"/>
          <w:szCs w:val="24"/>
          <w:lang w:eastAsia="cs-CZ"/>
        </w:rPr>
        <w:br/>
      </w:r>
      <w:r w:rsidRPr="00FA2356">
        <w:rPr>
          <w:rFonts w:ascii="Times New Roman" w:eastAsia="Times New Roman" w:hAnsi="Times New Roman" w:cs="Times New Roman"/>
          <w:b/>
          <w:bCs/>
          <w:sz w:val="24"/>
          <w:szCs w:val="24"/>
          <w:lang w:eastAsia="cs-CZ"/>
        </w:rPr>
        <w:t>vedoucí provozního úseku</w:t>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r>
      <w:r w:rsidRPr="00FA2356">
        <w:rPr>
          <w:rFonts w:ascii="Times New Roman" w:eastAsia="Times New Roman" w:hAnsi="Times New Roman" w:cs="Times New Roman"/>
          <w:b/>
          <w:bCs/>
          <w:sz w:val="24"/>
          <w:szCs w:val="24"/>
          <w:lang w:eastAsia="cs-CZ"/>
        </w:rPr>
        <w:tab/>
        <w:t xml:space="preserve">          materiálová účetní</w:t>
      </w:r>
      <w:r w:rsidRPr="00FA2356">
        <w:rPr>
          <w:rFonts w:ascii="Times New Roman" w:eastAsia="Times New Roman" w:hAnsi="Times New Roman" w:cs="Times New Roman"/>
          <w:sz w:val="24"/>
          <w:szCs w:val="24"/>
          <w:lang w:eastAsia="cs-CZ"/>
        </w:rPr>
        <w:br/>
        <w:t>telefon: 380 706 218; 608 609 014</w:t>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telefon: 380 706 219; 608 609 053</w:t>
      </w:r>
      <w:r w:rsidRPr="00FA2356">
        <w:rPr>
          <w:rFonts w:ascii="Times New Roman" w:eastAsia="Times New Roman" w:hAnsi="Times New Roman" w:cs="Times New Roman"/>
          <w:sz w:val="24"/>
          <w:szCs w:val="24"/>
          <w:lang w:eastAsia="cs-CZ"/>
        </w:rPr>
        <w:br/>
        <w:t xml:space="preserve">e-mail: </w:t>
      </w:r>
      <w:hyperlink r:id="rId17" w:history="1">
        <w:r w:rsidRPr="00FA2356">
          <w:rPr>
            <w:rFonts w:ascii="Times New Roman" w:eastAsia="Times New Roman" w:hAnsi="Times New Roman" w:cs="Times New Roman"/>
            <w:sz w:val="24"/>
            <w:szCs w:val="24"/>
            <w:lang w:eastAsia="cs-CZ"/>
          </w:rPr>
          <w:t>kuchyne.dsblatna@seznam.cz</w:t>
        </w:r>
      </w:hyperlink>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e-mail: </w:t>
      </w:r>
      <w:hyperlink r:id="rId18" w:history="1">
        <w:r w:rsidRPr="00FA2356">
          <w:rPr>
            <w:rFonts w:ascii="Times New Roman" w:eastAsia="Times New Roman" w:hAnsi="Times New Roman" w:cs="Times New Roman"/>
            <w:sz w:val="24"/>
            <w:szCs w:val="24"/>
            <w:lang w:eastAsia="cs-CZ"/>
          </w:rPr>
          <w:t>sklad.dsblatna@seznam.cz</w:t>
        </w:r>
      </w:hyperlink>
    </w:p>
    <w:p w:rsidR="00FA2356" w:rsidRPr="00FA2356" w:rsidRDefault="00FA2356" w:rsidP="00FA2356">
      <w:pPr>
        <w:spacing w:after="165" w:line="240" w:lineRule="auto"/>
        <w:rPr>
          <w:rFonts w:ascii="Times New Roman" w:eastAsia="Times New Roman" w:hAnsi="Times New Roman" w:cs="Times New Roman"/>
          <w:color w:val="000000"/>
          <w:sz w:val="24"/>
          <w:szCs w:val="24"/>
          <w:lang w:eastAsia="cs-CZ"/>
        </w:rPr>
      </w:pPr>
      <w:r w:rsidRPr="00FA2356">
        <w:rPr>
          <w:rFonts w:ascii="Times New Roman" w:eastAsia="Times New Roman" w:hAnsi="Times New Roman" w:cs="Times New Roman"/>
          <w:b/>
          <w:bCs/>
          <w:color w:val="000000"/>
          <w:sz w:val="24"/>
          <w:szCs w:val="24"/>
          <w:lang w:eastAsia="cs-CZ"/>
        </w:rPr>
        <w:t>Miroslav Pikl</w:t>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t xml:space="preserve">         Václav Zoubek</w:t>
      </w:r>
      <w:r w:rsidRPr="00FA2356">
        <w:rPr>
          <w:rFonts w:ascii="Times New Roman" w:eastAsia="Times New Roman" w:hAnsi="Times New Roman" w:cs="Times New Roman"/>
          <w:color w:val="000000"/>
          <w:sz w:val="24"/>
          <w:szCs w:val="24"/>
          <w:lang w:eastAsia="cs-CZ"/>
        </w:rPr>
        <w:br/>
      </w:r>
      <w:r w:rsidRPr="00FA2356">
        <w:rPr>
          <w:rFonts w:ascii="Times New Roman" w:eastAsia="Times New Roman" w:hAnsi="Times New Roman" w:cs="Times New Roman"/>
          <w:b/>
          <w:bCs/>
          <w:color w:val="000000"/>
          <w:sz w:val="24"/>
          <w:szCs w:val="24"/>
          <w:lang w:eastAsia="cs-CZ"/>
        </w:rPr>
        <w:t>vedoucí technického úseku</w:t>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r>
      <w:r w:rsidRPr="00FA2356">
        <w:rPr>
          <w:rFonts w:ascii="Times New Roman" w:eastAsia="Times New Roman" w:hAnsi="Times New Roman" w:cs="Times New Roman"/>
          <w:b/>
          <w:bCs/>
          <w:color w:val="000000"/>
          <w:sz w:val="24"/>
          <w:szCs w:val="24"/>
          <w:lang w:eastAsia="cs-CZ"/>
        </w:rPr>
        <w:tab/>
        <w:t xml:space="preserve">         údržba</w:t>
      </w:r>
      <w:r w:rsidRPr="00FA2356">
        <w:rPr>
          <w:rFonts w:ascii="Times New Roman" w:eastAsia="Times New Roman" w:hAnsi="Times New Roman" w:cs="Times New Roman"/>
          <w:color w:val="000000"/>
          <w:sz w:val="24"/>
          <w:szCs w:val="24"/>
          <w:lang w:eastAsia="cs-CZ"/>
        </w:rPr>
        <w:br/>
      </w:r>
      <w:r w:rsidRPr="00FA2356">
        <w:rPr>
          <w:rFonts w:ascii="Times New Roman" w:eastAsia="Times New Roman" w:hAnsi="Times New Roman" w:cs="Times New Roman"/>
          <w:sz w:val="24"/>
          <w:szCs w:val="24"/>
          <w:lang w:eastAsia="cs-CZ"/>
        </w:rPr>
        <w:t>telefon: 380 706 217; 608 609 037</w:t>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telefon: 380 706 217; 608 609 016</w:t>
      </w:r>
      <w:r w:rsidRPr="00FA2356">
        <w:rPr>
          <w:rFonts w:ascii="Times New Roman" w:eastAsia="Times New Roman" w:hAnsi="Times New Roman" w:cs="Times New Roman"/>
          <w:sz w:val="24"/>
          <w:szCs w:val="24"/>
          <w:lang w:eastAsia="cs-CZ"/>
        </w:rPr>
        <w:br/>
        <w:t>e-mail:</w:t>
      </w:r>
      <w:hyperlink r:id="rId19" w:history="1">
        <w:r w:rsidRPr="00FA2356">
          <w:rPr>
            <w:rFonts w:ascii="Times New Roman" w:eastAsia="Times New Roman" w:hAnsi="Times New Roman" w:cs="Times New Roman"/>
            <w:sz w:val="24"/>
            <w:szCs w:val="24"/>
            <w:lang w:eastAsia="cs-CZ"/>
          </w:rPr>
          <w:t>udrzba.dsblatna@seznam.cz</w:t>
        </w:r>
      </w:hyperlink>
      <w:r w:rsidRPr="00FA2356">
        <w:rPr>
          <w:rFonts w:ascii="Times New Roman" w:eastAsia="Times New Roman" w:hAnsi="Times New Roman" w:cs="Times New Roman"/>
          <w:sz w:val="24"/>
          <w:szCs w:val="24"/>
          <w:lang w:eastAsia="cs-CZ"/>
        </w:rPr>
        <w:tab/>
        <w:t xml:space="preserve"> </w:t>
      </w:r>
      <w:r w:rsidRPr="00FA2356">
        <w:rPr>
          <w:rFonts w:ascii="Times New Roman" w:eastAsia="Times New Roman" w:hAnsi="Times New Roman" w:cs="Times New Roman"/>
          <w:sz w:val="24"/>
          <w:szCs w:val="24"/>
          <w:lang w:eastAsia="cs-CZ"/>
        </w:rPr>
        <w:tab/>
      </w:r>
      <w:r w:rsidRPr="00FA2356">
        <w:rPr>
          <w:rFonts w:ascii="Times New Roman" w:eastAsia="Times New Roman" w:hAnsi="Times New Roman" w:cs="Times New Roman"/>
          <w:sz w:val="24"/>
          <w:szCs w:val="24"/>
          <w:lang w:eastAsia="cs-CZ"/>
        </w:rPr>
        <w:tab/>
        <w:t xml:space="preserve">         e-mail:</w:t>
      </w:r>
      <w:hyperlink r:id="rId20" w:history="1">
        <w:r w:rsidRPr="00FA2356">
          <w:rPr>
            <w:rFonts w:ascii="Times New Roman" w:eastAsia="Times New Roman" w:hAnsi="Times New Roman" w:cs="Times New Roman"/>
            <w:sz w:val="24"/>
            <w:szCs w:val="24"/>
            <w:lang w:eastAsia="cs-CZ"/>
          </w:rPr>
          <w:t>udrzba.dsblatna@seznam.cz</w:t>
        </w:r>
      </w:hyperlink>
    </w:p>
    <w:p w:rsidR="00FA2356" w:rsidRPr="00FA2356" w:rsidRDefault="00FA2356" w:rsidP="00FA2356">
      <w:pPr>
        <w:spacing w:before="240" w:after="120" w:line="240" w:lineRule="auto"/>
        <w:outlineLvl w:val="2"/>
        <w:rPr>
          <w:rFonts w:ascii="Times New Roman" w:eastAsia="Times New Roman" w:hAnsi="Times New Roman" w:cs="Times New Roman"/>
          <w:b/>
          <w:bCs/>
          <w:color w:val="06054A"/>
          <w:sz w:val="24"/>
          <w:szCs w:val="24"/>
          <w:lang w:eastAsia="cs-CZ"/>
        </w:rPr>
      </w:pPr>
      <w:r w:rsidRPr="00FA2356">
        <w:rPr>
          <w:rFonts w:ascii="Times New Roman" w:eastAsia="Times New Roman" w:hAnsi="Times New Roman" w:cs="Times New Roman"/>
          <w:b/>
          <w:bCs/>
          <w:color w:val="06054A"/>
          <w:sz w:val="24"/>
          <w:szCs w:val="24"/>
          <w:lang w:eastAsia="cs-CZ"/>
        </w:rPr>
        <w:lastRenderedPageBreak/>
        <w:t>Kontaktní osoby – terénní služba</w:t>
      </w:r>
    </w:p>
    <w:p w:rsidR="00FA2356" w:rsidRPr="00E631EA" w:rsidRDefault="00046D9D" w:rsidP="00FA2356">
      <w:pPr>
        <w:spacing w:before="240" w:after="120" w:line="240" w:lineRule="auto"/>
        <w:outlineLvl w:val="2"/>
        <w:rPr>
          <w:rFonts w:ascii="Times New Roman" w:eastAsia="Times New Roman" w:hAnsi="Times New Roman" w:cs="Times New Roman"/>
          <w:color w:val="000000"/>
          <w:sz w:val="24"/>
          <w:szCs w:val="24"/>
          <w:lang w:eastAsia="cs-CZ"/>
        </w:rPr>
      </w:pPr>
      <w:r w:rsidRPr="00046D9D">
        <w:rPr>
          <w:rFonts w:ascii="Times New Roman" w:eastAsia="Times New Roman" w:hAnsi="Times New Roman" w:cs="Times New Roman"/>
          <w:b/>
          <w:color w:val="000000"/>
          <w:sz w:val="24"/>
          <w:szCs w:val="24"/>
          <w:lang w:eastAsia="cs-CZ"/>
        </w:rPr>
        <w:t xml:space="preserve">Nikol </w:t>
      </w:r>
      <w:proofErr w:type="spellStart"/>
      <w:r w:rsidRPr="00046D9D">
        <w:rPr>
          <w:rFonts w:ascii="Times New Roman" w:eastAsia="Times New Roman" w:hAnsi="Times New Roman" w:cs="Times New Roman"/>
          <w:b/>
          <w:color w:val="000000"/>
          <w:sz w:val="24"/>
          <w:szCs w:val="24"/>
          <w:lang w:eastAsia="cs-CZ"/>
        </w:rPr>
        <w:t>Opplová</w:t>
      </w:r>
      <w:proofErr w:type="spellEnd"/>
      <w:r w:rsidRPr="00046D9D">
        <w:rPr>
          <w:rFonts w:ascii="Times New Roman" w:eastAsia="Times New Roman" w:hAnsi="Times New Roman" w:cs="Times New Roman"/>
          <w:b/>
          <w:color w:val="000000"/>
          <w:sz w:val="24"/>
          <w:szCs w:val="24"/>
          <w:lang w:eastAsia="cs-CZ"/>
        </w:rPr>
        <w:t>, DiS</w:t>
      </w:r>
      <w:r>
        <w:rPr>
          <w:rFonts w:ascii="Times New Roman" w:eastAsia="Times New Roman" w:hAnsi="Times New Roman" w:cs="Times New Roman"/>
          <w:b/>
          <w:color w:val="000000"/>
          <w:sz w:val="24"/>
          <w:szCs w:val="24"/>
          <w:lang w:eastAsia="cs-CZ"/>
        </w:rPr>
        <w:tab/>
      </w:r>
      <w:r>
        <w:rPr>
          <w:rFonts w:ascii="Times New Roman" w:eastAsia="Times New Roman" w:hAnsi="Times New Roman" w:cs="Times New Roman"/>
          <w:b/>
          <w:color w:val="000000"/>
          <w:sz w:val="24"/>
          <w:szCs w:val="24"/>
          <w:lang w:eastAsia="cs-CZ"/>
        </w:rPr>
        <w:tab/>
      </w:r>
      <w:r>
        <w:rPr>
          <w:rFonts w:ascii="Times New Roman" w:eastAsia="Times New Roman" w:hAnsi="Times New Roman" w:cs="Times New Roman"/>
          <w:b/>
          <w:color w:val="000000"/>
          <w:sz w:val="24"/>
          <w:szCs w:val="24"/>
          <w:lang w:eastAsia="cs-CZ"/>
        </w:rPr>
        <w:tab/>
      </w:r>
      <w:r>
        <w:rPr>
          <w:rFonts w:ascii="Times New Roman" w:eastAsia="Times New Roman" w:hAnsi="Times New Roman" w:cs="Times New Roman"/>
          <w:b/>
          <w:color w:val="000000"/>
          <w:sz w:val="24"/>
          <w:szCs w:val="24"/>
          <w:lang w:eastAsia="cs-CZ"/>
        </w:rPr>
        <w:tab/>
      </w:r>
      <w:r>
        <w:rPr>
          <w:rFonts w:ascii="Times New Roman" w:eastAsia="Times New Roman" w:hAnsi="Times New Roman" w:cs="Times New Roman"/>
          <w:b/>
          <w:color w:val="000000"/>
          <w:sz w:val="24"/>
          <w:szCs w:val="24"/>
          <w:lang w:eastAsia="cs-CZ"/>
        </w:rPr>
        <w:tab/>
      </w:r>
      <w:r>
        <w:rPr>
          <w:rFonts w:ascii="Times New Roman" w:eastAsia="Times New Roman" w:hAnsi="Times New Roman" w:cs="Times New Roman"/>
          <w:b/>
          <w:color w:val="000000"/>
          <w:sz w:val="24"/>
          <w:szCs w:val="24"/>
          <w:lang w:eastAsia="cs-CZ"/>
        </w:rPr>
        <w:tab/>
      </w:r>
      <w:r w:rsidR="00FA2356" w:rsidRPr="00FA2356">
        <w:rPr>
          <w:rFonts w:ascii="Times New Roman" w:eastAsia="Times New Roman" w:hAnsi="Times New Roman" w:cs="Times New Roman"/>
          <w:color w:val="000000"/>
          <w:sz w:val="24"/>
          <w:szCs w:val="24"/>
          <w:lang w:eastAsia="cs-CZ"/>
        </w:rPr>
        <w:br/>
      </w:r>
      <w:r>
        <w:rPr>
          <w:rFonts w:ascii="Times New Roman" w:eastAsia="Times New Roman" w:hAnsi="Times New Roman" w:cs="Times New Roman"/>
          <w:b/>
          <w:bCs/>
          <w:color w:val="000000"/>
          <w:sz w:val="24"/>
          <w:szCs w:val="24"/>
          <w:lang w:eastAsia="cs-CZ"/>
        </w:rPr>
        <w:t>vedoucí p</w:t>
      </w:r>
      <w:r w:rsidR="00FA2356" w:rsidRPr="00FA2356">
        <w:rPr>
          <w:rFonts w:ascii="Times New Roman" w:eastAsia="Times New Roman" w:hAnsi="Times New Roman" w:cs="Times New Roman"/>
          <w:b/>
          <w:bCs/>
          <w:color w:val="000000"/>
          <w:sz w:val="24"/>
          <w:szCs w:val="24"/>
          <w:lang w:eastAsia="cs-CZ"/>
        </w:rPr>
        <w:t>ečovatelské služby</w:t>
      </w:r>
      <w:r w:rsidR="00FA2356" w:rsidRPr="00FA2356">
        <w:rPr>
          <w:rFonts w:ascii="Times New Roman" w:eastAsia="Times New Roman" w:hAnsi="Times New Roman" w:cs="Times New Roman"/>
          <w:color w:val="000000"/>
          <w:sz w:val="24"/>
          <w:szCs w:val="24"/>
          <w:lang w:eastAsia="cs-CZ"/>
        </w:rPr>
        <w:t> </w:t>
      </w:r>
      <w:r w:rsidR="00FA2356" w:rsidRPr="00FA2356">
        <w:rPr>
          <w:rFonts w:ascii="Times New Roman" w:eastAsia="Times New Roman" w:hAnsi="Times New Roman" w:cs="Times New Roman"/>
          <w:color w:val="000000"/>
          <w:sz w:val="24"/>
          <w:szCs w:val="24"/>
          <w:lang w:eastAsia="cs-CZ"/>
        </w:rPr>
        <w:tab/>
      </w:r>
      <w:r w:rsidR="00FA2356" w:rsidRPr="00FA2356">
        <w:rPr>
          <w:rFonts w:ascii="Times New Roman" w:eastAsia="Times New Roman" w:hAnsi="Times New Roman" w:cs="Times New Roman"/>
          <w:color w:val="000000"/>
          <w:sz w:val="24"/>
          <w:szCs w:val="24"/>
          <w:lang w:eastAsia="cs-CZ"/>
        </w:rPr>
        <w:tab/>
      </w:r>
      <w:r w:rsidR="00FA2356" w:rsidRPr="00FA2356">
        <w:rPr>
          <w:rFonts w:ascii="Times New Roman" w:eastAsia="Times New Roman" w:hAnsi="Times New Roman" w:cs="Times New Roman"/>
          <w:color w:val="000000"/>
          <w:sz w:val="24"/>
          <w:szCs w:val="24"/>
          <w:lang w:eastAsia="cs-CZ"/>
        </w:rPr>
        <w:tab/>
        <w:t xml:space="preserve">         </w:t>
      </w:r>
      <w:r w:rsidR="00FA2356" w:rsidRPr="00FA2356">
        <w:rPr>
          <w:rFonts w:ascii="Times New Roman" w:eastAsia="Times New Roman" w:hAnsi="Times New Roman" w:cs="Times New Roman"/>
          <w:b/>
          <w:color w:val="000000"/>
          <w:sz w:val="24"/>
          <w:szCs w:val="24"/>
          <w:lang w:eastAsia="cs-CZ"/>
        </w:rPr>
        <w:t>Bc. Michaela Valášková</w:t>
      </w:r>
      <w:r w:rsidR="00FA2356" w:rsidRPr="00FA2356">
        <w:rPr>
          <w:rFonts w:ascii="Times New Roman" w:eastAsia="Times New Roman" w:hAnsi="Times New Roman" w:cs="Times New Roman"/>
          <w:color w:val="000000"/>
          <w:sz w:val="24"/>
          <w:szCs w:val="24"/>
          <w:lang w:eastAsia="cs-CZ"/>
        </w:rPr>
        <w:br/>
        <w:t>telefon: 383 422 653; 773 497 591</w:t>
      </w:r>
      <w:r w:rsidR="00FA2356" w:rsidRPr="00FA2356">
        <w:rPr>
          <w:rFonts w:ascii="Times New Roman" w:eastAsia="Times New Roman" w:hAnsi="Times New Roman" w:cs="Times New Roman"/>
          <w:color w:val="000000"/>
          <w:sz w:val="24"/>
          <w:szCs w:val="24"/>
          <w:lang w:eastAsia="cs-CZ"/>
        </w:rPr>
        <w:tab/>
      </w:r>
      <w:r w:rsidR="00FA2356" w:rsidRPr="00FA2356">
        <w:rPr>
          <w:rFonts w:ascii="Times New Roman" w:eastAsia="Times New Roman" w:hAnsi="Times New Roman" w:cs="Times New Roman"/>
          <w:color w:val="000000"/>
          <w:sz w:val="24"/>
          <w:szCs w:val="24"/>
          <w:lang w:eastAsia="cs-CZ"/>
        </w:rPr>
        <w:tab/>
      </w:r>
      <w:r w:rsidR="00FA2356" w:rsidRPr="00FA2356">
        <w:rPr>
          <w:rFonts w:ascii="Times New Roman" w:eastAsia="Times New Roman" w:hAnsi="Times New Roman" w:cs="Times New Roman"/>
          <w:color w:val="000000"/>
          <w:sz w:val="24"/>
          <w:szCs w:val="24"/>
          <w:lang w:eastAsia="cs-CZ"/>
        </w:rPr>
        <w:tab/>
        <w:t xml:space="preserve">         sociální pracovnice Pečovatelské služby</w:t>
      </w:r>
      <w:r w:rsidR="00FA2356" w:rsidRPr="00FA2356">
        <w:rPr>
          <w:rFonts w:ascii="Times New Roman" w:eastAsia="Times New Roman" w:hAnsi="Times New Roman" w:cs="Times New Roman"/>
          <w:color w:val="000000"/>
          <w:sz w:val="24"/>
          <w:szCs w:val="24"/>
          <w:lang w:eastAsia="cs-CZ"/>
        </w:rPr>
        <w:br/>
        <w:t xml:space="preserve">e-mail: </w:t>
      </w:r>
      <w:hyperlink r:id="rId21" w:history="1">
        <w:r w:rsidR="00FA2356" w:rsidRPr="00FA2356">
          <w:rPr>
            <w:rFonts w:ascii="Times New Roman" w:eastAsia="Times New Roman" w:hAnsi="Times New Roman" w:cs="Times New Roman"/>
            <w:sz w:val="24"/>
            <w:szCs w:val="24"/>
            <w:lang w:eastAsia="cs-CZ"/>
          </w:rPr>
          <w:t>pecovatelska.dsblatna@seznam.cz</w:t>
        </w:r>
      </w:hyperlink>
      <w:r w:rsidR="00FA2356" w:rsidRPr="00FA2356">
        <w:rPr>
          <w:rFonts w:ascii="Times New Roman" w:eastAsia="Times New Roman" w:hAnsi="Times New Roman" w:cs="Times New Roman"/>
          <w:b/>
          <w:bCs/>
          <w:color w:val="06054A"/>
          <w:sz w:val="24"/>
          <w:szCs w:val="24"/>
          <w:lang w:eastAsia="cs-CZ"/>
        </w:rPr>
        <w:t xml:space="preserve">  </w:t>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t xml:space="preserve">         </w:t>
      </w:r>
      <w:r w:rsidR="00FA2356" w:rsidRPr="00FA2356">
        <w:rPr>
          <w:rFonts w:ascii="Times New Roman" w:eastAsia="Times New Roman" w:hAnsi="Times New Roman" w:cs="Times New Roman"/>
          <w:color w:val="000000"/>
          <w:sz w:val="24"/>
          <w:szCs w:val="24"/>
          <w:lang w:eastAsia="cs-CZ"/>
        </w:rPr>
        <w:t>telefon: 383 422 653; 775 196 343</w:t>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r>
      <w:r w:rsidR="00FA2356" w:rsidRPr="00FA2356">
        <w:rPr>
          <w:rFonts w:ascii="Times New Roman" w:eastAsia="Times New Roman" w:hAnsi="Times New Roman" w:cs="Times New Roman"/>
          <w:b/>
          <w:bCs/>
          <w:color w:val="06054A"/>
          <w:sz w:val="24"/>
          <w:szCs w:val="24"/>
          <w:lang w:eastAsia="cs-CZ"/>
        </w:rPr>
        <w:tab/>
      </w:r>
    </w:p>
    <w:p w:rsidR="00FA2356" w:rsidRPr="00FA2356" w:rsidRDefault="00FA2356" w:rsidP="00FA2356">
      <w:pPr>
        <w:spacing w:after="165" w:line="240" w:lineRule="auto"/>
        <w:rPr>
          <w:rFonts w:ascii="Times New Roman" w:eastAsia="Times New Roman" w:hAnsi="Times New Roman" w:cs="Times New Roman"/>
          <w:b/>
          <w:bCs/>
          <w:color w:val="000000"/>
          <w:sz w:val="24"/>
          <w:szCs w:val="24"/>
          <w:lang w:eastAsia="cs-CZ"/>
        </w:rPr>
      </w:pPr>
      <w:r w:rsidRPr="00FA2356">
        <w:rPr>
          <w:rFonts w:ascii="Times New Roman" w:eastAsia="Times New Roman" w:hAnsi="Times New Roman" w:cs="Times New Roman"/>
          <w:b/>
          <w:bCs/>
          <w:color w:val="000000"/>
          <w:sz w:val="24"/>
          <w:szCs w:val="24"/>
          <w:lang w:eastAsia="cs-CZ"/>
        </w:rPr>
        <w:t>Půjčovna kompenzačních pomůcek</w:t>
      </w:r>
      <w:r w:rsidRPr="00FA2356">
        <w:rPr>
          <w:rFonts w:ascii="Times New Roman" w:eastAsia="Times New Roman" w:hAnsi="Times New Roman" w:cs="Times New Roman"/>
          <w:color w:val="000000"/>
          <w:sz w:val="24"/>
          <w:szCs w:val="24"/>
          <w:lang w:eastAsia="cs-CZ"/>
        </w:rPr>
        <w:br/>
        <w:t>telefon: 775 196 343</w:t>
      </w:r>
      <w:r w:rsidRPr="00FA2356">
        <w:rPr>
          <w:rFonts w:ascii="Times New Roman" w:eastAsia="Times New Roman" w:hAnsi="Times New Roman" w:cs="Times New Roman"/>
          <w:color w:val="000000"/>
          <w:sz w:val="24"/>
          <w:szCs w:val="24"/>
          <w:lang w:eastAsia="cs-CZ"/>
        </w:rPr>
        <w:br/>
        <w:t>e-mail: </w:t>
      </w:r>
      <w:hyperlink r:id="rId22" w:history="1">
        <w:r w:rsidRPr="00FA2356">
          <w:rPr>
            <w:rFonts w:ascii="Times New Roman" w:eastAsia="Times New Roman" w:hAnsi="Times New Roman" w:cs="Times New Roman"/>
            <w:sz w:val="24"/>
            <w:szCs w:val="24"/>
            <w:lang w:eastAsia="cs-CZ"/>
          </w:rPr>
          <w:t>pecovatelska.dsblatna@seznam.cz</w:t>
        </w:r>
      </w:hyperlink>
    </w:p>
    <w:p w:rsidR="006F3E7D" w:rsidRDefault="006F3E7D"/>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877598" w:rsidRDefault="00877598"/>
    <w:p w:rsidR="003117CB" w:rsidRDefault="003117CB" w:rsidP="00E243F7">
      <w:pPr>
        <w:jc w:val="center"/>
        <w:rPr>
          <w:rFonts w:ascii="Times New Roman" w:hAnsi="Times New Roman" w:cs="Times New Roman"/>
          <w:b/>
          <w:sz w:val="40"/>
          <w:szCs w:val="40"/>
        </w:rPr>
      </w:pPr>
    </w:p>
    <w:p w:rsidR="00004924" w:rsidRDefault="00877598" w:rsidP="00004924">
      <w:pPr>
        <w:jc w:val="center"/>
        <w:rPr>
          <w:rFonts w:ascii="Times New Roman" w:hAnsi="Times New Roman" w:cs="Times New Roman"/>
          <w:b/>
          <w:sz w:val="40"/>
          <w:szCs w:val="40"/>
        </w:rPr>
      </w:pPr>
      <w:r w:rsidRPr="00904F94">
        <w:rPr>
          <w:rFonts w:ascii="Times New Roman" w:hAnsi="Times New Roman" w:cs="Times New Roman"/>
          <w:b/>
          <w:sz w:val="40"/>
          <w:szCs w:val="40"/>
        </w:rPr>
        <w:lastRenderedPageBreak/>
        <w:t>DOMOV PRO SENIORY</w:t>
      </w:r>
    </w:p>
    <w:p w:rsidR="00E243F7" w:rsidRDefault="000B2F12" w:rsidP="000B2F12">
      <w:pPr>
        <w:rPr>
          <w:rFonts w:ascii="Times New Roman" w:hAnsi="Times New Roman" w:cs="Times New Roman"/>
          <w:b/>
          <w:sz w:val="36"/>
          <w:szCs w:val="36"/>
        </w:rPr>
      </w:pPr>
      <w:r>
        <w:rPr>
          <w:rFonts w:ascii="Times New Roman" w:hAnsi="Times New Roman" w:cs="Times New Roman"/>
          <w:b/>
          <w:sz w:val="36"/>
          <w:szCs w:val="36"/>
        </w:rPr>
        <w:t>Novinky v roce 2019:</w:t>
      </w:r>
    </w:p>
    <w:p w:rsidR="000B2F12" w:rsidRPr="00E11F0D" w:rsidRDefault="000B2F12" w:rsidP="000B2F12">
      <w:pPr>
        <w:rPr>
          <w:rFonts w:ascii="Times New Roman" w:hAnsi="Times New Roman" w:cs="Times New Roman"/>
          <w:b/>
          <w:sz w:val="28"/>
          <w:szCs w:val="28"/>
          <w:u w:val="single"/>
        </w:rPr>
      </w:pPr>
      <w:r w:rsidRPr="00E11F0D">
        <w:rPr>
          <w:rFonts w:ascii="Times New Roman" w:hAnsi="Times New Roman" w:cs="Times New Roman"/>
          <w:b/>
          <w:sz w:val="28"/>
          <w:szCs w:val="28"/>
          <w:u w:val="single"/>
        </w:rPr>
        <w:t>Dotazník spokojenosti pro rodinné příslušníky</w:t>
      </w:r>
    </w:p>
    <w:p w:rsidR="000B2F12" w:rsidRDefault="000B2F12" w:rsidP="00F82F0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 tomto roce jsme mimo našich klientů poprosili i rodinné příslušníky o vyplnění anonymního dotazníku spokojenosti. Dotazníky byly volně k disp</w:t>
      </w:r>
      <w:bookmarkStart w:id="0" w:name="_GoBack"/>
      <w:bookmarkEnd w:id="0"/>
      <w:r>
        <w:rPr>
          <w:rFonts w:ascii="Times New Roman" w:hAnsi="Times New Roman" w:cs="Times New Roman"/>
          <w:sz w:val="24"/>
          <w:szCs w:val="24"/>
        </w:rPr>
        <w:t xml:space="preserve">ozici na recepci. Možnost odevzdat dotazník do sběrné schránky měli během října a listopadu. Vyplněných dotazníků se nám navrátilo 41 kusů. </w:t>
      </w:r>
    </w:p>
    <w:p w:rsidR="000B2F12" w:rsidRDefault="000B2F12" w:rsidP="00F82F08">
      <w:pPr>
        <w:spacing w:line="360" w:lineRule="auto"/>
        <w:jc w:val="both"/>
        <w:rPr>
          <w:rFonts w:ascii="Times New Roman" w:hAnsi="Times New Roman" w:cs="Times New Roman"/>
          <w:sz w:val="24"/>
          <w:szCs w:val="24"/>
        </w:rPr>
      </w:pPr>
      <w:r>
        <w:rPr>
          <w:rFonts w:ascii="Times New Roman" w:hAnsi="Times New Roman" w:cs="Times New Roman"/>
          <w:sz w:val="24"/>
          <w:szCs w:val="24"/>
        </w:rPr>
        <w:t>Dotazník obsahoval 15 otázek. Převážná část otázek byla kombinací uzavřené otázky s možností vyjádření. Jedna otázka byla otevřená. Cílem ankety, bylo zmapovat spokojenost a pohled na domov pro seniory ze strany rodinných příslušníků. Zjišťovali jsme celkovou spokojenost a spokojenost s dílčími úseky.</w:t>
      </w:r>
    </w:p>
    <w:p w:rsidR="00E15915" w:rsidRPr="00E15915" w:rsidRDefault="00E15915" w:rsidP="000B2F12">
      <w:pPr>
        <w:spacing w:line="360" w:lineRule="auto"/>
        <w:rPr>
          <w:rFonts w:ascii="Times New Roman" w:hAnsi="Times New Roman" w:cs="Times New Roman"/>
          <w:sz w:val="24"/>
          <w:szCs w:val="24"/>
        </w:rPr>
      </w:pPr>
      <w:r>
        <w:rPr>
          <w:rFonts w:ascii="Times New Roman" w:hAnsi="Times New Roman" w:cs="Times New Roman"/>
          <w:sz w:val="24"/>
          <w:szCs w:val="24"/>
        </w:rPr>
        <w:t xml:space="preserve">Vyhodnocení otázky: </w:t>
      </w:r>
      <w:r w:rsidRPr="00E15915">
        <w:rPr>
          <w:rFonts w:ascii="Times New Roman" w:hAnsi="Times New Roman" w:cs="Times New Roman"/>
          <w:sz w:val="24"/>
          <w:szCs w:val="24"/>
        </w:rPr>
        <w:t>Mají klienti podle Vás v zařízení vše, co ke svému životu a spokojenosti potřebují?</w:t>
      </w:r>
    </w:p>
    <w:p w:rsidR="00E15915" w:rsidRDefault="00E15915" w:rsidP="00E15915">
      <w:pPr>
        <w:spacing w:line="360" w:lineRule="auto"/>
        <w:jc w:val="center"/>
        <w:rPr>
          <w:rFonts w:ascii="Times New Roman" w:hAnsi="Times New Roman" w:cs="Times New Roman"/>
          <w:sz w:val="24"/>
          <w:szCs w:val="24"/>
        </w:rPr>
      </w:pPr>
      <w:r>
        <w:rPr>
          <w:noProof/>
          <w:lang w:eastAsia="cs-CZ"/>
        </w:rPr>
        <w:drawing>
          <wp:inline distT="0" distB="0" distL="0" distR="0" wp14:anchorId="440EC9B6" wp14:editId="065D1FF1">
            <wp:extent cx="4572000" cy="2743200"/>
            <wp:effectExtent l="0" t="0" r="0" b="0"/>
            <wp:docPr id="42" name="Graf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15915" w:rsidRDefault="00E15915" w:rsidP="00E15915">
      <w:pPr>
        <w:rPr>
          <w:rFonts w:ascii="Times New Roman" w:hAnsi="Times New Roman" w:cs="Times New Roman"/>
          <w:sz w:val="24"/>
          <w:szCs w:val="24"/>
        </w:rPr>
      </w:pPr>
      <w:r>
        <w:rPr>
          <w:rFonts w:ascii="Times New Roman" w:hAnsi="Times New Roman" w:cs="Times New Roman"/>
          <w:sz w:val="24"/>
          <w:szCs w:val="24"/>
        </w:rPr>
        <w:t>Jedna odpověď byla ne, chybí jim: praktický lékař a psycholog, kteří by byli k dispozici každý den.</w:t>
      </w:r>
    </w:p>
    <w:p w:rsidR="00E243F7" w:rsidRDefault="00E243F7" w:rsidP="00E15915">
      <w:pPr>
        <w:rPr>
          <w:rFonts w:ascii="Times New Roman" w:hAnsi="Times New Roman" w:cs="Times New Roman"/>
          <w:sz w:val="24"/>
          <w:szCs w:val="24"/>
        </w:rPr>
      </w:pPr>
    </w:p>
    <w:p w:rsidR="000B2F12" w:rsidRPr="00E11F0D" w:rsidRDefault="000B2F12" w:rsidP="000B2F12">
      <w:pPr>
        <w:rPr>
          <w:rFonts w:ascii="Times New Roman" w:hAnsi="Times New Roman" w:cs="Times New Roman"/>
          <w:b/>
          <w:sz w:val="28"/>
          <w:szCs w:val="28"/>
          <w:u w:val="single"/>
        </w:rPr>
      </w:pPr>
      <w:r w:rsidRPr="00E11F0D">
        <w:rPr>
          <w:rFonts w:ascii="Times New Roman" w:hAnsi="Times New Roman" w:cs="Times New Roman"/>
          <w:b/>
          <w:sz w:val="28"/>
          <w:szCs w:val="28"/>
          <w:u w:val="single"/>
        </w:rPr>
        <w:t xml:space="preserve">Putovní schránka </w:t>
      </w:r>
    </w:p>
    <w:p w:rsidR="00E11F0D" w:rsidRDefault="00E11F0D" w:rsidP="00206E6F">
      <w:pPr>
        <w:spacing w:line="360" w:lineRule="auto"/>
        <w:jc w:val="both"/>
        <w:rPr>
          <w:rFonts w:ascii="Times New Roman" w:hAnsi="Times New Roman" w:cs="Times New Roman"/>
          <w:sz w:val="24"/>
          <w:szCs w:val="24"/>
        </w:rPr>
      </w:pPr>
      <w:r>
        <w:rPr>
          <w:rFonts w:ascii="Times New Roman" w:hAnsi="Times New Roman" w:cs="Times New Roman"/>
          <w:sz w:val="24"/>
          <w:szCs w:val="24"/>
        </w:rPr>
        <w:t>Na podzim jsme začali praktikovat tzv. putovní schránku, kam mohou klienti dávat své připomínky, stížnosti, náměty. Každý den je schránka na jiném pokoji, po domově ji předávají uklízečky. Tento nápad se na základě dotazníkového šetření l</w:t>
      </w:r>
      <w:r w:rsidR="00210600">
        <w:rPr>
          <w:rFonts w:ascii="Times New Roman" w:hAnsi="Times New Roman" w:cs="Times New Roman"/>
          <w:sz w:val="24"/>
          <w:szCs w:val="24"/>
        </w:rPr>
        <w:t>íbí převážné většině klientů. Kladně reagovalo</w:t>
      </w:r>
      <w:r>
        <w:rPr>
          <w:rFonts w:ascii="Times New Roman" w:hAnsi="Times New Roman" w:cs="Times New Roman"/>
          <w:sz w:val="24"/>
          <w:szCs w:val="24"/>
        </w:rPr>
        <w:t xml:space="preserve"> 80%. V používání putovní schránky se tedy bude pokračovat i v roce 2020.</w:t>
      </w:r>
    </w:p>
    <w:p w:rsidR="00E243F7" w:rsidRPr="00E11F0D" w:rsidRDefault="00E243F7" w:rsidP="00206E6F">
      <w:pPr>
        <w:spacing w:line="360" w:lineRule="auto"/>
        <w:jc w:val="both"/>
        <w:rPr>
          <w:rFonts w:ascii="Times New Roman" w:hAnsi="Times New Roman" w:cs="Times New Roman"/>
          <w:sz w:val="24"/>
          <w:szCs w:val="24"/>
        </w:rPr>
      </w:pPr>
    </w:p>
    <w:p w:rsidR="000B2F12" w:rsidRPr="00E11F0D" w:rsidRDefault="000B2F12" w:rsidP="000B2F12">
      <w:pPr>
        <w:rPr>
          <w:rFonts w:ascii="Times New Roman" w:hAnsi="Times New Roman" w:cs="Times New Roman"/>
          <w:b/>
          <w:sz w:val="28"/>
          <w:szCs w:val="28"/>
          <w:u w:val="single"/>
        </w:rPr>
      </w:pPr>
      <w:r w:rsidRPr="00E11F0D">
        <w:rPr>
          <w:rFonts w:ascii="Times New Roman" w:hAnsi="Times New Roman" w:cs="Times New Roman"/>
          <w:b/>
          <w:sz w:val="28"/>
          <w:szCs w:val="28"/>
          <w:u w:val="single"/>
        </w:rPr>
        <w:lastRenderedPageBreak/>
        <w:t>Značka kvality v sociálních službách</w:t>
      </w:r>
    </w:p>
    <w:p w:rsidR="00904F94" w:rsidRDefault="00904F94" w:rsidP="003117CB">
      <w:pPr>
        <w:spacing w:after="0" w:line="240" w:lineRule="auto"/>
        <w:jc w:val="center"/>
        <w:outlineLvl w:val="1"/>
        <w:rPr>
          <w:rFonts w:ascii="Times New Roman" w:hAnsi="Times New Roman" w:cs="Times New Roman"/>
          <w:b/>
          <w:sz w:val="24"/>
          <w:szCs w:val="24"/>
          <w:u w:val="single"/>
        </w:rPr>
      </w:pPr>
      <w:r>
        <w:rPr>
          <w:rFonts w:ascii="Arial" w:hAnsi="Arial" w:cs="Arial"/>
          <w:noProof/>
          <w:color w:val="636363"/>
          <w:sz w:val="18"/>
          <w:szCs w:val="18"/>
          <w:lang w:eastAsia="cs-CZ"/>
        </w:rPr>
        <w:drawing>
          <wp:inline distT="0" distB="0" distL="0" distR="0" wp14:anchorId="74F00613" wp14:editId="033CF01A">
            <wp:extent cx="3238500" cy="847725"/>
            <wp:effectExtent l="0" t="0" r="0" b="9525"/>
            <wp:docPr id="33" name="obrázek 32" descr="http://www.znackakvality.info/layout/logo-zn.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znackakvality.info/layout/logo-zn.pn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38500" cy="847725"/>
                    </a:xfrm>
                    <a:prstGeom prst="rect">
                      <a:avLst/>
                    </a:prstGeom>
                    <a:noFill/>
                    <a:ln>
                      <a:noFill/>
                    </a:ln>
                  </pic:spPr>
                </pic:pic>
              </a:graphicData>
            </a:graphic>
          </wp:inline>
        </w:drawing>
      </w:r>
    </w:p>
    <w:p w:rsidR="00877598" w:rsidRPr="00877598" w:rsidRDefault="00877598" w:rsidP="00877598">
      <w:pPr>
        <w:spacing w:after="0" w:line="240" w:lineRule="auto"/>
        <w:outlineLvl w:val="1"/>
        <w:rPr>
          <w:rFonts w:ascii="Arial" w:eastAsia="Times New Roman" w:hAnsi="Arial" w:cs="Arial"/>
          <w:b/>
          <w:bCs/>
          <w:color w:val="FFFFFF"/>
          <w:sz w:val="20"/>
          <w:szCs w:val="20"/>
          <w:lang w:eastAsia="cs-CZ"/>
        </w:rPr>
      </w:pPr>
      <w:r w:rsidRPr="00877598">
        <w:rPr>
          <w:rFonts w:ascii="Arial" w:eastAsia="Times New Roman" w:hAnsi="Arial" w:cs="Arial"/>
          <w:b/>
          <w:bCs/>
          <w:color w:val="FFFFFF"/>
          <w:sz w:val="20"/>
          <w:szCs w:val="20"/>
          <w:lang w:eastAsia="cs-CZ"/>
        </w:rPr>
        <w:t>Certifikace</w:t>
      </w:r>
    </w:p>
    <w:tbl>
      <w:tblPr>
        <w:tblW w:w="4260" w:type="dxa"/>
        <w:jc w:val="center"/>
        <w:tblCellMar>
          <w:left w:w="0" w:type="dxa"/>
          <w:right w:w="0" w:type="dxa"/>
        </w:tblCellMar>
        <w:tblLook w:val="04A0" w:firstRow="1" w:lastRow="0" w:firstColumn="1" w:lastColumn="0" w:noHBand="0" w:noVBand="1"/>
      </w:tblPr>
      <w:tblGrid>
        <w:gridCol w:w="2130"/>
        <w:gridCol w:w="1272"/>
        <w:gridCol w:w="858"/>
      </w:tblGrid>
      <w:tr w:rsidR="00877598" w:rsidRPr="00877598" w:rsidTr="00877598">
        <w:trPr>
          <w:jc w:val="center"/>
        </w:trPr>
        <w:tc>
          <w:tcPr>
            <w:tcW w:w="2500" w:type="pct"/>
            <w:tcMar>
              <w:top w:w="0" w:type="dxa"/>
              <w:left w:w="0" w:type="dxa"/>
              <w:bottom w:w="75" w:type="dxa"/>
              <w:right w:w="0" w:type="dxa"/>
            </w:tcMar>
            <w:hideMark/>
          </w:tcPr>
          <w:p w:rsidR="00877598" w:rsidRPr="00877598" w:rsidRDefault="00877598" w:rsidP="00877598">
            <w:pPr>
              <w:spacing w:after="0" w:line="240" w:lineRule="auto"/>
              <w:rPr>
                <w:rFonts w:ascii="Arial" w:eastAsia="Times New Roman" w:hAnsi="Arial" w:cs="Arial"/>
                <w:b/>
                <w:bCs/>
                <w:color w:val="000000"/>
                <w:sz w:val="18"/>
                <w:szCs w:val="18"/>
                <w:lang w:eastAsia="cs-CZ"/>
              </w:rPr>
            </w:pPr>
            <w:r w:rsidRPr="00877598">
              <w:rPr>
                <w:rFonts w:ascii="Arial" w:eastAsia="Times New Roman" w:hAnsi="Arial" w:cs="Arial"/>
                <w:b/>
                <w:bCs/>
                <w:color w:val="000000"/>
                <w:sz w:val="18"/>
                <w:szCs w:val="18"/>
                <w:lang w:eastAsia="cs-CZ"/>
              </w:rPr>
              <w:t xml:space="preserve">Ubytování </w:t>
            </w:r>
          </w:p>
        </w:tc>
        <w:tc>
          <w:tcPr>
            <w:tcW w:w="2500" w:type="pct"/>
            <w:gridSpan w:val="2"/>
            <w:tcMar>
              <w:top w:w="0" w:type="dxa"/>
              <w:left w:w="225" w:type="dxa"/>
              <w:bottom w:w="75" w:type="dxa"/>
              <w:right w:w="0" w:type="dxa"/>
            </w:tcMar>
            <w:hideMark/>
          </w:tcPr>
          <w:p w:rsidR="00877598" w:rsidRPr="00877598" w:rsidRDefault="00877598" w:rsidP="00877598">
            <w:pPr>
              <w:spacing w:after="0" w:line="240" w:lineRule="auto"/>
              <w:rPr>
                <w:rFonts w:ascii="Arial" w:eastAsia="Times New Roman" w:hAnsi="Arial" w:cs="Arial"/>
                <w:color w:val="000000"/>
                <w:sz w:val="18"/>
                <w:szCs w:val="18"/>
                <w:lang w:eastAsia="cs-CZ"/>
              </w:rPr>
            </w:pPr>
            <w:r w:rsidRPr="00877598">
              <w:rPr>
                <w:rFonts w:ascii="Arial" w:eastAsia="Times New Roman" w:hAnsi="Arial" w:cs="Arial"/>
                <w:noProof/>
                <w:color w:val="000000"/>
                <w:sz w:val="18"/>
                <w:szCs w:val="18"/>
                <w:lang w:eastAsia="cs-CZ"/>
              </w:rPr>
              <w:drawing>
                <wp:inline distT="0" distB="0" distL="0" distR="0" wp14:anchorId="654A9F15" wp14:editId="53D1527C">
                  <wp:extent cx="152400" cy="152400"/>
                  <wp:effectExtent l="0" t="0" r="0" b="0"/>
                  <wp:docPr id="31" name="obrázek 1"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7AC5D798" wp14:editId="2BF7354B">
                  <wp:extent cx="152400" cy="152400"/>
                  <wp:effectExtent l="0" t="0" r="0" b="0"/>
                  <wp:docPr id="2" name="obrázek 2"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12ECE2CC" wp14:editId="7666288F">
                  <wp:extent cx="152400" cy="152400"/>
                  <wp:effectExtent l="0" t="0" r="0" b="0"/>
                  <wp:docPr id="3" name="obrázek 3"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24C57A43" wp14:editId="5E51C729">
                  <wp:extent cx="152400" cy="152400"/>
                  <wp:effectExtent l="0" t="0" r="0" b="0"/>
                  <wp:docPr id="4" name="obrázek 4"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46F02120" wp14:editId="5FD09107">
                  <wp:extent cx="152400" cy="152400"/>
                  <wp:effectExtent l="0" t="0" r="0" b="0"/>
                  <wp:docPr id="5" name="obrázek 5"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77598" w:rsidRPr="00877598" w:rsidTr="00877598">
        <w:trPr>
          <w:jc w:val="center"/>
        </w:trPr>
        <w:tc>
          <w:tcPr>
            <w:tcW w:w="2500" w:type="pct"/>
            <w:shd w:val="clear" w:color="auto" w:fill="EEF5FD"/>
            <w:tcMar>
              <w:top w:w="0" w:type="dxa"/>
              <w:left w:w="0" w:type="dxa"/>
              <w:bottom w:w="75" w:type="dxa"/>
              <w:right w:w="0" w:type="dxa"/>
            </w:tcMar>
            <w:hideMark/>
          </w:tcPr>
          <w:p w:rsidR="00877598" w:rsidRPr="00877598" w:rsidRDefault="00877598" w:rsidP="00877598">
            <w:pPr>
              <w:spacing w:after="0" w:line="240" w:lineRule="auto"/>
              <w:rPr>
                <w:rFonts w:ascii="Arial" w:eastAsia="Times New Roman" w:hAnsi="Arial" w:cs="Arial"/>
                <w:b/>
                <w:bCs/>
                <w:color w:val="000000"/>
                <w:sz w:val="18"/>
                <w:szCs w:val="18"/>
                <w:lang w:eastAsia="cs-CZ"/>
              </w:rPr>
            </w:pPr>
            <w:r w:rsidRPr="00877598">
              <w:rPr>
                <w:rFonts w:ascii="Arial" w:eastAsia="Times New Roman" w:hAnsi="Arial" w:cs="Arial"/>
                <w:b/>
                <w:bCs/>
                <w:color w:val="000000"/>
                <w:sz w:val="18"/>
                <w:szCs w:val="18"/>
                <w:lang w:eastAsia="cs-CZ"/>
              </w:rPr>
              <w:t xml:space="preserve">Strava </w:t>
            </w:r>
          </w:p>
        </w:tc>
        <w:tc>
          <w:tcPr>
            <w:tcW w:w="2500" w:type="pct"/>
            <w:gridSpan w:val="2"/>
            <w:shd w:val="clear" w:color="auto" w:fill="EEF5FD"/>
            <w:tcMar>
              <w:top w:w="0" w:type="dxa"/>
              <w:left w:w="225" w:type="dxa"/>
              <w:bottom w:w="75" w:type="dxa"/>
              <w:right w:w="0" w:type="dxa"/>
            </w:tcMar>
            <w:hideMark/>
          </w:tcPr>
          <w:p w:rsidR="00877598" w:rsidRPr="00877598" w:rsidRDefault="00877598" w:rsidP="00877598">
            <w:pPr>
              <w:spacing w:after="0" w:line="240" w:lineRule="auto"/>
              <w:rPr>
                <w:rFonts w:ascii="Arial" w:eastAsia="Times New Roman" w:hAnsi="Arial" w:cs="Arial"/>
                <w:color w:val="000000"/>
                <w:sz w:val="18"/>
                <w:szCs w:val="18"/>
                <w:lang w:eastAsia="cs-CZ"/>
              </w:rPr>
            </w:pPr>
            <w:r w:rsidRPr="00877598">
              <w:rPr>
                <w:rFonts w:ascii="Arial" w:eastAsia="Times New Roman" w:hAnsi="Arial" w:cs="Arial"/>
                <w:noProof/>
                <w:color w:val="000000"/>
                <w:sz w:val="18"/>
                <w:szCs w:val="18"/>
                <w:lang w:eastAsia="cs-CZ"/>
              </w:rPr>
              <w:drawing>
                <wp:inline distT="0" distB="0" distL="0" distR="0" wp14:anchorId="053398BA" wp14:editId="20255CF9">
                  <wp:extent cx="152400" cy="152400"/>
                  <wp:effectExtent l="0" t="0" r="0" b="0"/>
                  <wp:docPr id="6" name="obrázek 6"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2776D1B7" wp14:editId="3128142D">
                  <wp:extent cx="152400" cy="152400"/>
                  <wp:effectExtent l="0" t="0" r="0" b="0"/>
                  <wp:docPr id="7" name="obrázek 7"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14583186" wp14:editId="56A60AFA">
                  <wp:extent cx="152400" cy="152400"/>
                  <wp:effectExtent l="0" t="0" r="0" b="0"/>
                  <wp:docPr id="8" name="obrázek 8"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1670A591" wp14:editId="358C1380">
                  <wp:extent cx="152400" cy="152400"/>
                  <wp:effectExtent l="0" t="0" r="0" b="0"/>
                  <wp:docPr id="9" name="obrázek 9"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7A8C74E1" wp14:editId="69252FE7">
                  <wp:extent cx="152400" cy="152400"/>
                  <wp:effectExtent l="0" t="0" r="0" b="0"/>
                  <wp:docPr id="10" name="obrázek 10"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77598" w:rsidRPr="00877598" w:rsidTr="00877598">
        <w:trPr>
          <w:jc w:val="center"/>
        </w:trPr>
        <w:tc>
          <w:tcPr>
            <w:tcW w:w="2500" w:type="pct"/>
            <w:tcMar>
              <w:top w:w="0" w:type="dxa"/>
              <w:left w:w="0" w:type="dxa"/>
              <w:bottom w:w="75" w:type="dxa"/>
              <w:right w:w="0" w:type="dxa"/>
            </w:tcMar>
            <w:hideMark/>
          </w:tcPr>
          <w:p w:rsidR="00877598" w:rsidRPr="00877598" w:rsidRDefault="00877598" w:rsidP="00877598">
            <w:pPr>
              <w:spacing w:after="0" w:line="240" w:lineRule="auto"/>
              <w:rPr>
                <w:rFonts w:ascii="Arial" w:eastAsia="Times New Roman" w:hAnsi="Arial" w:cs="Arial"/>
                <w:b/>
                <w:bCs/>
                <w:color w:val="000000"/>
                <w:sz w:val="18"/>
                <w:szCs w:val="18"/>
                <w:lang w:eastAsia="cs-CZ"/>
              </w:rPr>
            </w:pPr>
            <w:r w:rsidRPr="00877598">
              <w:rPr>
                <w:rFonts w:ascii="Arial" w:eastAsia="Times New Roman" w:hAnsi="Arial" w:cs="Arial"/>
                <w:b/>
                <w:bCs/>
                <w:color w:val="000000"/>
                <w:sz w:val="18"/>
                <w:szCs w:val="18"/>
                <w:lang w:eastAsia="cs-CZ"/>
              </w:rPr>
              <w:t xml:space="preserve">Volný čas a kultura </w:t>
            </w:r>
          </w:p>
        </w:tc>
        <w:tc>
          <w:tcPr>
            <w:tcW w:w="2500" w:type="pct"/>
            <w:gridSpan w:val="2"/>
            <w:tcMar>
              <w:top w:w="0" w:type="dxa"/>
              <w:left w:w="225" w:type="dxa"/>
              <w:bottom w:w="75" w:type="dxa"/>
              <w:right w:w="0" w:type="dxa"/>
            </w:tcMar>
            <w:hideMark/>
          </w:tcPr>
          <w:p w:rsidR="00877598" w:rsidRPr="00877598" w:rsidRDefault="00877598" w:rsidP="00877598">
            <w:pPr>
              <w:spacing w:after="0" w:line="240" w:lineRule="auto"/>
              <w:rPr>
                <w:rFonts w:ascii="Arial" w:eastAsia="Times New Roman" w:hAnsi="Arial" w:cs="Arial"/>
                <w:color w:val="000000"/>
                <w:sz w:val="18"/>
                <w:szCs w:val="18"/>
                <w:lang w:eastAsia="cs-CZ"/>
              </w:rPr>
            </w:pPr>
            <w:r w:rsidRPr="00877598">
              <w:rPr>
                <w:rFonts w:ascii="Arial" w:eastAsia="Times New Roman" w:hAnsi="Arial" w:cs="Arial"/>
                <w:noProof/>
                <w:color w:val="000000"/>
                <w:sz w:val="18"/>
                <w:szCs w:val="18"/>
                <w:lang w:eastAsia="cs-CZ"/>
              </w:rPr>
              <w:drawing>
                <wp:inline distT="0" distB="0" distL="0" distR="0" wp14:anchorId="796CC755" wp14:editId="31AE79B6">
                  <wp:extent cx="152400" cy="152400"/>
                  <wp:effectExtent l="0" t="0" r="0" b="0"/>
                  <wp:docPr id="11" name="obrázek 11"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5D2801C9" wp14:editId="02020065">
                  <wp:extent cx="152400" cy="152400"/>
                  <wp:effectExtent l="0" t="0" r="0" b="0"/>
                  <wp:docPr id="12" name="obrázek 12"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62D96A3D" wp14:editId="72D64EAD">
                  <wp:extent cx="152400" cy="152400"/>
                  <wp:effectExtent l="0" t="0" r="0" b="0"/>
                  <wp:docPr id="13" name="obrázek 13"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49CD876B" wp14:editId="2EA21039">
                  <wp:extent cx="152400" cy="152400"/>
                  <wp:effectExtent l="0" t="0" r="0" b="0"/>
                  <wp:docPr id="14" name="obrázek 14"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6CD0E4DE" wp14:editId="6FCA6D6C">
                  <wp:extent cx="152400" cy="152400"/>
                  <wp:effectExtent l="0" t="0" r="0" b="0"/>
                  <wp:docPr id="15" name="obrázek 15"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77598" w:rsidRPr="00877598" w:rsidTr="00877598">
        <w:trPr>
          <w:jc w:val="center"/>
        </w:trPr>
        <w:tc>
          <w:tcPr>
            <w:tcW w:w="2500" w:type="pct"/>
            <w:shd w:val="clear" w:color="auto" w:fill="EEF5FD"/>
            <w:tcMar>
              <w:top w:w="0" w:type="dxa"/>
              <w:left w:w="0" w:type="dxa"/>
              <w:bottom w:w="75" w:type="dxa"/>
              <w:right w:w="0" w:type="dxa"/>
            </w:tcMar>
            <w:hideMark/>
          </w:tcPr>
          <w:p w:rsidR="00877598" w:rsidRPr="00877598" w:rsidRDefault="00877598" w:rsidP="00877598">
            <w:pPr>
              <w:spacing w:after="0" w:line="240" w:lineRule="auto"/>
              <w:rPr>
                <w:rFonts w:ascii="Arial" w:eastAsia="Times New Roman" w:hAnsi="Arial" w:cs="Arial"/>
                <w:b/>
                <w:bCs/>
                <w:color w:val="000000"/>
                <w:sz w:val="18"/>
                <w:szCs w:val="18"/>
                <w:lang w:eastAsia="cs-CZ"/>
              </w:rPr>
            </w:pPr>
            <w:r w:rsidRPr="00877598">
              <w:rPr>
                <w:rFonts w:ascii="Arial" w:eastAsia="Times New Roman" w:hAnsi="Arial" w:cs="Arial"/>
                <w:b/>
                <w:bCs/>
                <w:color w:val="000000"/>
                <w:sz w:val="18"/>
                <w:szCs w:val="18"/>
                <w:lang w:eastAsia="cs-CZ"/>
              </w:rPr>
              <w:t xml:space="preserve">Partnerství </w:t>
            </w:r>
          </w:p>
        </w:tc>
        <w:tc>
          <w:tcPr>
            <w:tcW w:w="2500" w:type="pct"/>
            <w:gridSpan w:val="2"/>
            <w:shd w:val="clear" w:color="auto" w:fill="EEF5FD"/>
            <w:tcMar>
              <w:top w:w="0" w:type="dxa"/>
              <w:left w:w="225" w:type="dxa"/>
              <w:bottom w:w="75" w:type="dxa"/>
              <w:right w:w="0" w:type="dxa"/>
            </w:tcMar>
            <w:hideMark/>
          </w:tcPr>
          <w:p w:rsidR="00877598" w:rsidRPr="00877598" w:rsidRDefault="00877598" w:rsidP="00877598">
            <w:pPr>
              <w:spacing w:after="0" w:line="240" w:lineRule="auto"/>
              <w:rPr>
                <w:rFonts w:ascii="Arial" w:eastAsia="Times New Roman" w:hAnsi="Arial" w:cs="Arial"/>
                <w:color w:val="000000"/>
                <w:sz w:val="18"/>
                <w:szCs w:val="18"/>
                <w:lang w:eastAsia="cs-CZ"/>
              </w:rPr>
            </w:pPr>
            <w:r w:rsidRPr="00877598">
              <w:rPr>
                <w:rFonts w:ascii="Arial" w:eastAsia="Times New Roman" w:hAnsi="Arial" w:cs="Arial"/>
                <w:noProof/>
                <w:color w:val="000000"/>
                <w:sz w:val="18"/>
                <w:szCs w:val="18"/>
                <w:lang w:eastAsia="cs-CZ"/>
              </w:rPr>
              <w:drawing>
                <wp:inline distT="0" distB="0" distL="0" distR="0" wp14:anchorId="24E9000D" wp14:editId="1B65A6E5">
                  <wp:extent cx="152400" cy="152400"/>
                  <wp:effectExtent l="0" t="0" r="0" b="0"/>
                  <wp:docPr id="16" name="obrázek 16"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19B3BFAD" wp14:editId="4C8AC841">
                  <wp:extent cx="152400" cy="152400"/>
                  <wp:effectExtent l="0" t="0" r="0" b="0"/>
                  <wp:docPr id="17" name="obrázek 17"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1FCD183B" wp14:editId="058E9733">
                  <wp:extent cx="152400" cy="152400"/>
                  <wp:effectExtent l="0" t="0" r="0" b="0"/>
                  <wp:docPr id="18" name="obrázek 18"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1A2754BF" wp14:editId="12F9CF47">
                  <wp:extent cx="152400" cy="152400"/>
                  <wp:effectExtent l="0" t="0" r="0" b="0"/>
                  <wp:docPr id="19" name="obrázek 19"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71EAD789" wp14:editId="044BC4E4">
                  <wp:extent cx="152400" cy="152400"/>
                  <wp:effectExtent l="0" t="0" r="0" b="0"/>
                  <wp:docPr id="20" name="obrázek 20"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77598" w:rsidRPr="00877598" w:rsidTr="00877598">
        <w:trPr>
          <w:jc w:val="center"/>
        </w:trPr>
        <w:tc>
          <w:tcPr>
            <w:tcW w:w="2500" w:type="pct"/>
            <w:tcBorders>
              <w:bottom w:val="single" w:sz="4" w:space="0" w:color="auto"/>
            </w:tcBorders>
            <w:tcMar>
              <w:top w:w="0" w:type="dxa"/>
              <w:left w:w="0" w:type="dxa"/>
              <w:bottom w:w="75" w:type="dxa"/>
              <w:right w:w="0" w:type="dxa"/>
            </w:tcMar>
            <w:hideMark/>
          </w:tcPr>
          <w:p w:rsidR="00877598" w:rsidRPr="00877598" w:rsidRDefault="00877598" w:rsidP="00877598">
            <w:pPr>
              <w:spacing w:after="0" w:line="240" w:lineRule="auto"/>
              <w:rPr>
                <w:rFonts w:ascii="Arial" w:eastAsia="Times New Roman" w:hAnsi="Arial" w:cs="Arial"/>
                <w:b/>
                <w:bCs/>
                <w:color w:val="000000"/>
                <w:sz w:val="18"/>
                <w:szCs w:val="18"/>
                <w:lang w:eastAsia="cs-CZ"/>
              </w:rPr>
            </w:pPr>
            <w:r w:rsidRPr="00877598">
              <w:rPr>
                <w:rFonts w:ascii="Arial" w:eastAsia="Times New Roman" w:hAnsi="Arial" w:cs="Arial"/>
                <w:b/>
                <w:bCs/>
                <w:color w:val="000000"/>
                <w:sz w:val="18"/>
                <w:szCs w:val="18"/>
                <w:lang w:eastAsia="cs-CZ"/>
              </w:rPr>
              <w:t>Péče</w:t>
            </w:r>
          </w:p>
        </w:tc>
        <w:tc>
          <w:tcPr>
            <w:tcW w:w="2500" w:type="pct"/>
            <w:gridSpan w:val="2"/>
            <w:tcBorders>
              <w:bottom w:val="single" w:sz="4" w:space="0" w:color="auto"/>
            </w:tcBorders>
            <w:tcMar>
              <w:top w:w="0" w:type="dxa"/>
              <w:left w:w="225" w:type="dxa"/>
              <w:bottom w:w="75" w:type="dxa"/>
              <w:right w:w="0" w:type="dxa"/>
            </w:tcMar>
            <w:hideMark/>
          </w:tcPr>
          <w:p w:rsidR="00877598" w:rsidRPr="00877598" w:rsidRDefault="00877598" w:rsidP="00877598">
            <w:pPr>
              <w:spacing w:after="0" w:line="240" w:lineRule="auto"/>
              <w:rPr>
                <w:rFonts w:ascii="Arial" w:eastAsia="Times New Roman" w:hAnsi="Arial" w:cs="Arial"/>
                <w:color w:val="000000"/>
                <w:sz w:val="18"/>
                <w:szCs w:val="18"/>
                <w:lang w:eastAsia="cs-CZ"/>
              </w:rPr>
            </w:pPr>
            <w:r w:rsidRPr="00877598">
              <w:rPr>
                <w:rFonts w:ascii="Arial" w:eastAsia="Times New Roman" w:hAnsi="Arial" w:cs="Arial"/>
                <w:noProof/>
                <w:color w:val="000000"/>
                <w:sz w:val="18"/>
                <w:szCs w:val="18"/>
                <w:lang w:eastAsia="cs-CZ"/>
              </w:rPr>
              <w:drawing>
                <wp:inline distT="0" distB="0" distL="0" distR="0" wp14:anchorId="595B8CCB" wp14:editId="77F98437">
                  <wp:extent cx="152400" cy="152400"/>
                  <wp:effectExtent l="0" t="0" r="0" b="0"/>
                  <wp:docPr id="21" name="obrázek 21"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2835227C" wp14:editId="3D14B47D">
                  <wp:extent cx="152400" cy="152400"/>
                  <wp:effectExtent l="0" t="0" r="0" b="0"/>
                  <wp:docPr id="22" name="obrázek 22"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1978C79D" wp14:editId="10367370">
                  <wp:extent cx="152400" cy="152400"/>
                  <wp:effectExtent l="0" t="0" r="0" b="0"/>
                  <wp:docPr id="23" name="obrázek 23"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498EA056" wp14:editId="08A46348">
                  <wp:extent cx="152400" cy="152400"/>
                  <wp:effectExtent l="0" t="0" r="0" b="0"/>
                  <wp:docPr id="24" name="obrázek 24"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000000"/>
                <w:sz w:val="18"/>
                <w:szCs w:val="18"/>
                <w:lang w:eastAsia="cs-CZ"/>
              </w:rPr>
              <w:drawing>
                <wp:inline distT="0" distB="0" distL="0" distR="0" wp14:anchorId="7FA9D5F6" wp14:editId="7D3C5286">
                  <wp:extent cx="152400" cy="152400"/>
                  <wp:effectExtent l="0" t="0" r="0" b="0"/>
                  <wp:docPr id="25" name="obrázek 25"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77598" w:rsidRPr="00877598" w:rsidTr="00877598">
        <w:trPr>
          <w:gridAfter w:val="1"/>
          <w:wAfter w:w="1007" w:type="pct"/>
          <w:jc w:val="center"/>
        </w:trPr>
        <w:tc>
          <w:tcPr>
            <w:tcW w:w="2500" w:type="pct"/>
            <w:tcBorders>
              <w:top w:val="single" w:sz="4" w:space="0" w:color="auto"/>
            </w:tcBorders>
            <w:shd w:val="clear" w:color="auto" w:fill="EEF5FD"/>
            <w:tcMar>
              <w:top w:w="0" w:type="dxa"/>
              <w:left w:w="0" w:type="dxa"/>
              <w:bottom w:w="75" w:type="dxa"/>
              <w:right w:w="0" w:type="dxa"/>
            </w:tcMar>
            <w:hideMark/>
          </w:tcPr>
          <w:p w:rsidR="00877598" w:rsidRPr="00877598" w:rsidRDefault="00877598" w:rsidP="00877598">
            <w:pPr>
              <w:spacing w:after="0" w:line="240" w:lineRule="auto"/>
              <w:rPr>
                <w:rFonts w:ascii="Arial" w:eastAsia="Times New Roman" w:hAnsi="Arial" w:cs="Arial"/>
                <w:b/>
                <w:bCs/>
                <w:color w:val="000000"/>
                <w:sz w:val="18"/>
                <w:szCs w:val="18"/>
                <w:lang w:eastAsia="cs-CZ"/>
              </w:rPr>
            </w:pPr>
            <w:r w:rsidRPr="00877598">
              <w:rPr>
                <w:rFonts w:ascii="Arial" w:eastAsia="Times New Roman" w:hAnsi="Arial" w:cs="Arial"/>
                <w:b/>
                <w:bCs/>
                <w:color w:val="000000"/>
                <w:sz w:val="18"/>
                <w:szCs w:val="18"/>
                <w:lang w:eastAsia="cs-CZ"/>
              </w:rPr>
              <w:t xml:space="preserve">Bodové hodnocení </w:t>
            </w:r>
          </w:p>
        </w:tc>
        <w:tc>
          <w:tcPr>
            <w:tcW w:w="1493" w:type="pct"/>
            <w:tcBorders>
              <w:top w:val="single" w:sz="4" w:space="0" w:color="auto"/>
            </w:tcBorders>
            <w:shd w:val="clear" w:color="auto" w:fill="EEF5FD"/>
            <w:tcMar>
              <w:top w:w="0" w:type="dxa"/>
              <w:left w:w="225" w:type="dxa"/>
              <w:bottom w:w="75" w:type="dxa"/>
              <w:right w:w="0" w:type="dxa"/>
            </w:tcMar>
            <w:hideMark/>
          </w:tcPr>
          <w:p w:rsidR="00877598" w:rsidRPr="00877598" w:rsidRDefault="00877598" w:rsidP="00877598">
            <w:pPr>
              <w:spacing w:after="0" w:line="240" w:lineRule="auto"/>
              <w:rPr>
                <w:rFonts w:ascii="Arial" w:eastAsia="Times New Roman" w:hAnsi="Arial" w:cs="Arial"/>
                <w:b/>
                <w:color w:val="000000"/>
                <w:sz w:val="18"/>
                <w:szCs w:val="18"/>
                <w:lang w:eastAsia="cs-CZ"/>
              </w:rPr>
            </w:pPr>
            <w:r w:rsidRPr="00877598">
              <w:rPr>
                <w:rFonts w:ascii="Arial" w:eastAsia="Times New Roman" w:hAnsi="Arial" w:cs="Arial"/>
                <w:b/>
                <w:color w:val="000000"/>
                <w:sz w:val="18"/>
                <w:szCs w:val="18"/>
                <w:lang w:eastAsia="cs-CZ"/>
              </w:rPr>
              <w:t>811 bodů   </w:t>
            </w:r>
          </w:p>
        </w:tc>
      </w:tr>
      <w:tr w:rsidR="00877598" w:rsidRPr="00877598" w:rsidTr="00877598">
        <w:trPr>
          <w:trHeight w:val="480"/>
          <w:jc w:val="center"/>
        </w:trPr>
        <w:tc>
          <w:tcPr>
            <w:tcW w:w="2500" w:type="pct"/>
            <w:shd w:val="clear" w:color="auto" w:fill="auto"/>
            <w:tcMar>
              <w:top w:w="0" w:type="dxa"/>
              <w:left w:w="0" w:type="dxa"/>
              <w:bottom w:w="75" w:type="dxa"/>
              <w:right w:w="0" w:type="dxa"/>
            </w:tcMar>
            <w:hideMark/>
          </w:tcPr>
          <w:p w:rsidR="00877598" w:rsidRPr="00877598" w:rsidRDefault="00877598" w:rsidP="00877598">
            <w:pPr>
              <w:spacing w:after="0" w:line="240" w:lineRule="auto"/>
              <w:rPr>
                <w:rFonts w:ascii="Arial" w:eastAsia="Times New Roman" w:hAnsi="Arial" w:cs="Arial"/>
                <w:b/>
                <w:bCs/>
                <w:color w:val="FFFFFF"/>
                <w:sz w:val="18"/>
                <w:szCs w:val="18"/>
                <w:lang w:eastAsia="cs-CZ"/>
              </w:rPr>
            </w:pPr>
            <w:r w:rsidRPr="00877598">
              <w:rPr>
                <w:rFonts w:ascii="Arial" w:eastAsia="Times New Roman" w:hAnsi="Arial" w:cs="Arial"/>
                <w:b/>
                <w:bCs/>
                <w:color w:val="FFFFFF"/>
                <w:sz w:val="18"/>
                <w:szCs w:val="18"/>
                <w:lang w:eastAsia="cs-CZ"/>
              </w:rPr>
              <w:t xml:space="preserve">Celkové hodnocení </w:t>
            </w:r>
          </w:p>
        </w:tc>
        <w:tc>
          <w:tcPr>
            <w:tcW w:w="2500" w:type="pct"/>
            <w:gridSpan w:val="2"/>
            <w:shd w:val="clear" w:color="auto" w:fill="auto"/>
            <w:tcMar>
              <w:top w:w="0" w:type="dxa"/>
              <w:left w:w="225" w:type="dxa"/>
              <w:bottom w:w="75" w:type="dxa"/>
              <w:right w:w="0" w:type="dxa"/>
            </w:tcMar>
            <w:hideMark/>
          </w:tcPr>
          <w:p w:rsidR="00877598" w:rsidRPr="00877598" w:rsidRDefault="00877598" w:rsidP="00877598">
            <w:pPr>
              <w:spacing w:after="0" w:line="240" w:lineRule="auto"/>
              <w:rPr>
                <w:rFonts w:ascii="Arial" w:eastAsia="Times New Roman" w:hAnsi="Arial" w:cs="Arial"/>
                <w:color w:val="FFFFFF"/>
                <w:sz w:val="18"/>
                <w:szCs w:val="18"/>
                <w:lang w:eastAsia="cs-CZ"/>
              </w:rPr>
            </w:pPr>
            <w:r w:rsidRPr="00877598">
              <w:rPr>
                <w:rFonts w:ascii="Arial" w:eastAsia="Times New Roman" w:hAnsi="Arial" w:cs="Arial"/>
                <w:noProof/>
                <w:color w:val="FFFFFF"/>
                <w:sz w:val="18"/>
                <w:szCs w:val="18"/>
                <w:lang w:eastAsia="cs-CZ"/>
              </w:rPr>
              <w:drawing>
                <wp:inline distT="0" distB="0" distL="0" distR="0" wp14:anchorId="31822C97" wp14:editId="5D6A7F5A">
                  <wp:extent cx="152400" cy="152400"/>
                  <wp:effectExtent l="0" t="0" r="0" b="0"/>
                  <wp:docPr id="26" name="obrázek 26"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FFFFFF"/>
                <w:sz w:val="18"/>
                <w:szCs w:val="18"/>
                <w:lang w:eastAsia="cs-CZ"/>
              </w:rPr>
              <w:drawing>
                <wp:inline distT="0" distB="0" distL="0" distR="0" wp14:anchorId="69F557D2" wp14:editId="1E997F89">
                  <wp:extent cx="152400" cy="152400"/>
                  <wp:effectExtent l="0" t="0" r="0" b="0"/>
                  <wp:docPr id="27" name="obrázek 27"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FFFFFF"/>
                <w:sz w:val="18"/>
                <w:szCs w:val="18"/>
                <w:lang w:eastAsia="cs-CZ"/>
              </w:rPr>
              <w:drawing>
                <wp:inline distT="0" distB="0" distL="0" distR="0" wp14:anchorId="0437119F" wp14:editId="724313FC">
                  <wp:extent cx="152400" cy="152400"/>
                  <wp:effectExtent l="0" t="0" r="0" b="0"/>
                  <wp:docPr id="28" name="obrázek 28"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FFFFFF"/>
                <w:sz w:val="18"/>
                <w:szCs w:val="18"/>
                <w:lang w:eastAsia="cs-CZ"/>
              </w:rPr>
              <w:drawing>
                <wp:inline distT="0" distB="0" distL="0" distR="0" wp14:anchorId="4FABBDAE" wp14:editId="6A11125C">
                  <wp:extent cx="152400" cy="152400"/>
                  <wp:effectExtent l="0" t="0" r="0" b="0"/>
                  <wp:docPr id="29" name="obrázek 29" descr="http://www.znackakvality.info/layout/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znackakvality.info/layout/star.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77598">
              <w:rPr>
                <w:rFonts w:ascii="Arial" w:eastAsia="Times New Roman" w:hAnsi="Arial" w:cs="Arial"/>
                <w:noProof/>
                <w:color w:val="FFFFFF"/>
                <w:sz w:val="18"/>
                <w:szCs w:val="18"/>
                <w:lang w:eastAsia="cs-CZ"/>
              </w:rPr>
              <w:drawing>
                <wp:inline distT="0" distB="0" distL="0" distR="0" wp14:anchorId="0A98898A" wp14:editId="733C77DC">
                  <wp:extent cx="152400" cy="152400"/>
                  <wp:effectExtent l="0" t="0" r="0" b="0"/>
                  <wp:docPr id="30" name="obrázek 30" descr="http://www.znackakvality.info/layout/star_svet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znackakvality.info/layout/star_svetl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77598" w:rsidRDefault="00877598" w:rsidP="00877598">
      <w:pPr>
        <w:rPr>
          <w:rFonts w:ascii="Times New Roman" w:hAnsi="Times New Roman" w:cs="Times New Roman"/>
          <w:sz w:val="24"/>
          <w:szCs w:val="24"/>
        </w:rPr>
      </w:pPr>
    </w:p>
    <w:p w:rsidR="00904F94" w:rsidRDefault="00904F94" w:rsidP="00877598">
      <w:pPr>
        <w:pStyle w:val="Normlnweb"/>
        <w:spacing w:before="0" w:beforeAutospacing="0" w:after="0" w:afterAutospacing="0" w:line="360" w:lineRule="auto"/>
        <w:jc w:val="both"/>
      </w:pPr>
      <w:r>
        <w:t xml:space="preserve">V roce 2019 jsme domov přihlásili do programu Značky kvality v sociálních službách. Návštěva auditorů proběhla v říjnu a výsledkem jsou velmi pěkné 4 hvězdy. </w:t>
      </w:r>
    </w:p>
    <w:p w:rsidR="00877598" w:rsidRPr="00877598" w:rsidRDefault="00877598" w:rsidP="00877598">
      <w:pPr>
        <w:pStyle w:val="Normlnweb"/>
        <w:spacing w:before="0" w:beforeAutospacing="0" w:after="0" w:afterAutospacing="0" w:line="360" w:lineRule="auto"/>
        <w:jc w:val="both"/>
      </w:pPr>
      <w:r w:rsidRPr="00877598">
        <w:t>Cílem Značky kvality v sociálních službách je poskytnout novým uživatelům sociální služby či zájemcům o ni, ale také jejich rodinným příslušníkům, jednoznačnou informaci o tom, jakou kvalitu mohou od života v daném zařízení sociálních služeb očekávat. Jde o systém externí certifikace, který je založen na tzv. udělování hvězd. V praxi tak již při vstupu do zařízení uvidí jak jeho nový uživatel, tak případně i jeho rodina, zda jde např. o zařízení dvouhvězdičkové nebo pětihvězdičkové. Značka kvality v sociálních službách hodnotí všechny důležité aspekty poskytování sociální služby, a to pouze z jednoho úhlu pohledu – z pohledu samotného uživatele této sociální služby.</w:t>
      </w:r>
    </w:p>
    <w:p w:rsidR="00877598" w:rsidRPr="00877598" w:rsidRDefault="00877598" w:rsidP="00877598">
      <w:pPr>
        <w:pStyle w:val="Normlnweb"/>
        <w:spacing w:before="0" w:beforeAutospacing="0" w:after="0" w:afterAutospacing="0" w:line="360" w:lineRule="auto"/>
        <w:jc w:val="both"/>
      </w:pPr>
      <w:r w:rsidRPr="00877598">
        <w:t>Značka kvality usiluje o zvyšování kvality v certifikovaných zařízeních, poukazuje na slabá místa v poskytování péče a předkládá doporučení, v jakých oblastech je možné se dále zlepšovat. Jedná se o aktivní systém, který průběžně reaguje na stále se zvyšující požadavky na kvalitu péče. Zpravidla jedenkrát ročně je aktualizován a upravován na základě připomínek a zkušeností odborníků, aby reflektoval legislativní změny i nové důrazy a trendy v oblasti sociálních služeb.</w:t>
      </w:r>
    </w:p>
    <w:p w:rsidR="00904F94" w:rsidRDefault="00904F94" w:rsidP="00877598">
      <w:pPr>
        <w:rPr>
          <w:rFonts w:ascii="Times New Roman" w:hAnsi="Times New Roman" w:cs="Times New Roman"/>
          <w:sz w:val="24"/>
          <w:szCs w:val="24"/>
        </w:rPr>
      </w:pPr>
    </w:p>
    <w:p w:rsidR="00904F94" w:rsidRDefault="00904F94" w:rsidP="00877598">
      <w:pPr>
        <w:rPr>
          <w:rFonts w:ascii="Times New Roman" w:hAnsi="Times New Roman" w:cs="Times New Roman"/>
          <w:sz w:val="24"/>
          <w:szCs w:val="24"/>
        </w:rPr>
      </w:pPr>
    </w:p>
    <w:p w:rsidR="00904F94" w:rsidRDefault="00904F94" w:rsidP="00877598">
      <w:pPr>
        <w:rPr>
          <w:rFonts w:ascii="Times New Roman" w:hAnsi="Times New Roman" w:cs="Times New Roman"/>
          <w:sz w:val="24"/>
          <w:szCs w:val="24"/>
        </w:rPr>
      </w:pPr>
    </w:p>
    <w:p w:rsidR="00904F94" w:rsidRDefault="00904F94" w:rsidP="00877598">
      <w:pPr>
        <w:rPr>
          <w:rFonts w:ascii="Times New Roman" w:hAnsi="Times New Roman" w:cs="Times New Roman"/>
          <w:sz w:val="24"/>
          <w:szCs w:val="24"/>
        </w:rPr>
      </w:pPr>
    </w:p>
    <w:p w:rsidR="00904F94" w:rsidRDefault="00904F94" w:rsidP="00877598">
      <w:pPr>
        <w:rPr>
          <w:rFonts w:ascii="Times New Roman" w:hAnsi="Times New Roman" w:cs="Times New Roman"/>
          <w:sz w:val="24"/>
          <w:szCs w:val="24"/>
        </w:rPr>
      </w:pPr>
    </w:p>
    <w:p w:rsidR="00E11F0D" w:rsidRDefault="00E11F0D" w:rsidP="00904F94">
      <w:pPr>
        <w:rPr>
          <w:rFonts w:ascii="Times New Roman" w:hAnsi="Times New Roman" w:cs="Times New Roman"/>
          <w:b/>
          <w:sz w:val="28"/>
          <w:szCs w:val="28"/>
        </w:rPr>
      </w:pPr>
    </w:p>
    <w:p w:rsidR="00E243F7" w:rsidRDefault="00E243F7" w:rsidP="00904F94">
      <w:pPr>
        <w:rPr>
          <w:rFonts w:ascii="Times New Roman" w:hAnsi="Times New Roman" w:cs="Times New Roman"/>
          <w:b/>
          <w:sz w:val="28"/>
          <w:szCs w:val="28"/>
        </w:rPr>
      </w:pPr>
    </w:p>
    <w:p w:rsidR="005C4C3D" w:rsidRPr="00E11F0D" w:rsidRDefault="005C4C3D" w:rsidP="00904F94">
      <w:pPr>
        <w:rPr>
          <w:rFonts w:ascii="Times New Roman" w:hAnsi="Times New Roman" w:cs="Times New Roman"/>
          <w:b/>
          <w:sz w:val="28"/>
          <w:szCs w:val="28"/>
          <w:u w:val="single"/>
        </w:rPr>
      </w:pPr>
      <w:r w:rsidRPr="00E11F0D">
        <w:rPr>
          <w:rFonts w:ascii="Times New Roman" w:hAnsi="Times New Roman" w:cs="Times New Roman"/>
          <w:b/>
          <w:sz w:val="28"/>
          <w:szCs w:val="28"/>
          <w:u w:val="single"/>
        </w:rPr>
        <w:lastRenderedPageBreak/>
        <w:t>Audit kvality:</w:t>
      </w:r>
    </w:p>
    <w:p w:rsidR="005C4C3D" w:rsidRDefault="005C4C3D" w:rsidP="003606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Během února proběhl audit kvality z asociace poskytovatelů sociálních služeb. Tento audit probíhal 3 dny a následovali 2 reflexní dny jeden v červnu a druhý v září. Jeden den se dvoučlenný tým auditorů věnoval pouze zdravotnímu oddělení ve spolupráci s vrchní sestrou. Dva dny pak měl tříčlenný tým k dispozici ředitelku, sociální pracovnice, vrchní sestru a zástupce z řad pracovníků přímé péče</w:t>
      </w:r>
      <w:r w:rsidR="003606AD">
        <w:rPr>
          <w:rFonts w:ascii="Times New Roman" w:hAnsi="Times New Roman" w:cs="Times New Roman"/>
          <w:sz w:val="24"/>
          <w:szCs w:val="24"/>
        </w:rPr>
        <w:t>, zdravotního personálu</w:t>
      </w:r>
      <w:r>
        <w:rPr>
          <w:rFonts w:ascii="Times New Roman" w:hAnsi="Times New Roman" w:cs="Times New Roman"/>
          <w:sz w:val="24"/>
          <w:szCs w:val="24"/>
        </w:rPr>
        <w:t xml:space="preserve"> a klientů.</w:t>
      </w:r>
    </w:p>
    <w:p w:rsidR="00904F94" w:rsidRPr="003606AD" w:rsidRDefault="005C4C3D" w:rsidP="003606AD">
      <w:pPr>
        <w:spacing w:after="0" w:line="360" w:lineRule="auto"/>
        <w:jc w:val="both"/>
        <w:rPr>
          <w:rFonts w:ascii="Times New Roman" w:hAnsi="Times New Roman" w:cs="Times New Roman"/>
          <w:sz w:val="24"/>
          <w:szCs w:val="24"/>
          <w:u w:val="single"/>
        </w:rPr>
      </w:pPr>
      <w:r w:rsidRPr="003606AD">
        <w:rPr>
          <w:rFonts w:ascii="Times New Roman" w:hAnsi="Times New Roman" w:cs="Times New Roman"/>
          <w:sz w:val="24"/>
          <w:szCs w:val="24"/>
          <w:u w:val="single"/>
        </w:rPr>
        <w:t>Audit probíhal na 4 úrovních:</w:t>
      </w:r>
    </w:p>
    <w:p w:rsidR="005C4C3D" w:rsidRPr="005C4C3D" w:rsidRDefault="005C4C3D" w:rsidP="003606AD">
      <w:pPr>
        <w:spacing w:after="0" w:line="360" w:lineRule="auto"/>
        <w:jc w:val="both"/>
        <w:rPr>
          <w:rFonts w:ascii="Times New Roman" w:hAnsi="Times New Roman" w:cs="Times New Roman"/>
          <w:sz w:val="24"/>
          <w:szCs w:val="24"/>
        </w:rPr>
      </w:pPr>
      <w:r w:rsidRPr="003606AD">
        <w:rPr>
          <w:rFonts w:ascii="Times New Roman" w:hAnsi="Times New Roman" w:cs="Times New Roman"/>
          <w:b/>
          <w:sz w:val="24"/>
          <w:szCs w:val="24"/>
        </w:rPr>
        <w:t>1.</w:t>
      </w:r>
      <w:r>
        <w:rPr>
          <w:rFonts w:ascii="Times New Roman" w:hAnsi="Times New Roman" w:cs="Times New Roman"/>
          <w:sz w:val="24"/>
          <w:szCs w:val="24"/>
        </w:rPr>
        <w:t xml:space="preserve"> Audit plnění zákonných </w:t>
      </w:r>
      <w:r w:rsidRPr="005C4C3D">
        <w:rPr>
          <w:rFonts w:ascii="Times New Roman" w:hAnsi="Times New Roman" w:cs="Times New Roman"/>
          <w:sz w:val="24"/>
          <w:szCs w:val="24"/>
        </w:rPr>
        <w:t xml:space="preserve">povinností poskytovatele s vazbou na plnění vybraných standardů kvality Jde o posouzení toho, zda poskytovatel plní povinnosti stanovené v zákoně č. 108/2006 Sb., o sociálních službách, ve znění pozdějších předpisů, a ve vyhlášce č. 505/2006 Sb., kterou se provádějí některá ustanovení zákona o sociálních službách. </w:t>
      </w:r>
    </w:p>
    <w:p w:rsidR="005C4C3D" w:rsidRPr="005C4C3D" w:rsidRDefault="005C4C3D" w:rsidP="003606AD">
      <w:pPr>
        <w:spacing w:after="0" w:line="360" w:lineRule="auto"/>
        <w:jc w:val="both"/>
        <w:rPr>
          <w:rFonts w:ascii="Times New Roman" w:hAnsi="Times New Roman" w:cs="Times New Roman"/>
          <w:sz w:val="24"/>
          <w:szCs w:val="24"/>
        </w:rPr>
      </w:pPr>
      <w:r w:rsidRPr="005C4C3D">
        <w:rPr>
          <w:rFonts w:ascii="Times New Roman" w:hAnsi="Times New Roman" w:cs="Times New Roman"/>
          <w:sz w:val="24"/>
          <w:szCs w:val="24"/>
        </w:rPr>
        <w:t>Předmětem hodnocení je: › plnění povinností stanovených v § 88 a 89 zákona č. 108/2006 Sb. (ZSS); › ověření kvality poskytovaných sociálních služeb v souladu s § 99 ZSS, a to pomocí standardů kvality (standard 1 až 8) ve znění přílohy č. 2 prováděcí vyhlášky k ZSS; › posouzení, zda smlouva o poskytování sociální služby obsahuje náležitosti podle § 91 odst. 2 ZSS; › posouzení, zda je výše úhrady sjednána v rámci výše stanovené v § 73 až 77 ZSS; › posouzení, zda služba naplňuje základní zásady uvedené v § 2 ZSS.</w:t>
      </w:r>
    </w:p>
    <w:p w:rsidR="005C4C3D" w:rsidRPr="005C4C3D" w:rsidRDefault="005C4C3D" w:rsidP="003606AD">
      <w:pPr>
        <w:spacing w:after="0" w:line="360" w:lineRule="auto"/>
        <w:jc w:val="both"/>
        <w:rPr>
          <w:rFonts w:ascii="Times New Roman" w:hAnsi="Times New Roman" w:cs="Times New Roman"/>
          <w:sz w:val="24"/>
          <w:szCs w:val="24"/>
        </w:rPr>
      </w:pPr>
      <w:r w:rsidRPr="003606AD">
        <w:rPr>
          <w:rFonts w:ascii="Times New Roman" w:hAnsi="Times New Roman" w:cs="Times New Roman"/>
          <w:b/>
          <w:sz w:val="24"/>
          <w:szCs w:val="24"/>
        </w:rPr>
        <w:t>2.</w:t>
      </w:r>
      <w:r w:rsidRPr="005C4C3D">
        <w:rPr>
          <w:rFonts w:ascii="Times New Roman" w:hAnsi="Times New Roman" w:cs="Times New Roman"/>
          <w:sz w:val="24"/>
          <w:szCs w:val="24"/>
        </w:rPr>
        <w:t xml:space="preserve"> Audit v oblasti procesní analýzy sociální pomoci, podpory a péče Jedná se o ověření, zda pobytová služba disponuje dostatečným množstvím kvalifikovaného personálu, a zda množství vykonané práce odpovídá potřebám klientů. Audit také zjišťuje, jak je zajištěn důstojný život a ochrana lidských práv klientů služby. </w:t>
      </w:r>
    </w:p>
    <w:p w:rsidR="005C4C3D" w:rsidRPr="00904F94" w:rsidRDefault="005C4C3D" w:rsidP="003606AD">
      <w:pPr>
        <w:spacing w:after="0" w:line="360" w:lineRule="auto"/>
        <w:jc w:val="both"/>
        <w:rPr>
          <w:rFonts w:ascii="Times New Roman" w:hAnsi="Times New Roman" w:cs="Times New Roman"/>
          <w:sz w:val="24"/>
          <w:szCs w:val="24"/>
        </w:rPr>
      </w:pPr>
      <w:r w:rsidRPr="005C4C3D">
        <w:rPr>
          <w:rFonts w:ascii="Times New Roman" w:hAnsi="Times New Roman" w:cs="Times New Roman"/>
          <w:sz w:val="24"/>
          <w:szCs w:val="24"/>
        </w:rPr>
        <w:t>Předmětem hodnocení je: › mapování potřeb klienta v době před nástupem a při nástupu, zapojení zdravotníků do posuzování a jednání se zájemcem o službu; › plánování péče dle potřeb klienta; › personální analýza v porovnání s ostatními poskytovateli v ČR; › analýza počtu a struktury personálu v návaznosti na strukturu klientů dle příspěvku na péči; › optimalizace struktury a počtu personálu; › vlastní posuzování míry závislosti na péči; › zaměření služby na 3. a 4. stupeň závislosti na péči druhé osoby; › plánování péče zaměřené na skutečné a identifikované potřeby klienta; › sledování výkonů; › sledování zátěže personálu; › zkoumání vzdělávacích potřeb personálu v přímé péči; › realizace vzdělávacích plánů</w:t>
      </w:r>
    </w:p>
    <w:p w:rsidR="00904F94" w:rsidRPr="00904F94" w:rsidRDefault="00904F94" w:rsidP="003606AD">
      <w:pPr>
        <w:spacing w:after="0" w:line="360" w:lineRule="auto"/>
        <w:jc w:val="both"/>
        <w:rPr>
          <w:rFonts w:ascii="Times New Roman" w:hAnsi="Times New Roman" w:cs="Times New Roman"/>
          <w:sz w:val="24"/>
          <w:szCs w:val="24"/>
        </w:rPr>
      </w:pPr>
      <w:r w:rsidRPr="003606AD">
        <w:rPr>
          <w:rFonts w:ascii="Times New Roman" w:hAnsi="Times New Roman" w:cs="Times New Roman"/>
          <w:b/>
          <w:sz w:val="24"/>
          <w:szCs w:val="24"/>
        </w:rPr>
        <w:t>3.</w:t>
      </w:r>
      <w:r w:rsidRPr="00904F94">
        <w:rPr>
          <w:rFonts w:ascii="Times New Roman" w:hAnsi="Times New Roman" w:cs="Times New Roman"/>
          <w:sz w:val="24"/>
          <w:szCs w:val="24"/>
        </w:rPr>
        <w:t xml:space="preserve"> Audit zajištění zdravotní péče Účelem je ověřit, zda pobytová služba poskytuje ošetřovatelskou péči v souladu s platnou legislativou a standardizovanými postupy, a to za pomoci dostatečného množství kvalifikovaného personálu. </w:t>
      </w:r>
    </w:p>
    <w:p w:rsidR="00904F94" w:rsidRPr="00904F94" w:rsidRDefault="00904F94" w:rsidP="003606AD">
      <w:pPr>
        <w:spacing w:after="0" w:line="360" w:lineRule="auto"/>
        <w:jc w:val="both"/>
        <w:rPr>
          <w:rFonts w:ascii="Times New Roman" w:hAnsi="Times New Roman" w:cs="Times New Roman"/>
          <w:sz w:val="24"/>
          <w:szCs w:val="24"/>
        </w:rPr>
      </w:pPr>
      <w:r w:rsidRPr="00904F94">
        <w:rPr>
          <w:rFonts w:ascii="Times New Roman" w:hAnsi="Times New Roman" w:cs="Times New Roman"/>
          <w:sz w:val="24"/>
          <w:szCs w:val="24"/>
        </w:rPr>
        <w:lastRenderedPageBreak/>
        <w:t>Předmětem hodnocení je: › mapování potřeb klienta v době před nástupem a při nástupu, zapojení zdravotníků do posuzování a jednání se zájemcem o službu; › plánování péče ve vztahu k potřebám klienta; › návaznost na lékařskou péči praktického lékaře a specialistů; › zajišťování péče nelékařskými zdravotnickými pracovníky; › posouzení efektivity využití personálu zajišťujícího ošetřovatelskou péči.</w:t>
      </w:r>
    </w:p>
    <w:p w:rsidR="00904F94" w:rsidRPr="00904F94" w:rsidRDefault="00904F94" w:rsidP="003606AD">
      <w:pPr>
        <w:spacing w:after="0" w:line="360" w:lineRule="auto"/>
        <w:jc w:val="both"/>
        <w:rPr>
          <w:rFonts w:ascii="Times New Roman" w:hAnsi="Times New Roman" w:cs="Times New Roman"/>
          <w:sz w:val="24"/>
          <w:szCs w:val="24"/>
        </w:rPr>
      </w:pPr>
      <w:r w:rsidRPr="003606AD">
        <w:rPr>
          <w:rFonts w:ascii="Times New Roman" w:hAnsi="Times New Roman" w:cs="Times New Roman"/>
          <w:b/>
          <w:sz w:val="24"/>
          <w:szCs w:val="24"/>
        </w:rPr>
        <w:t>4.</w:t>
      </w:r>
      <w:r w:rsidRPr="00904F94">
        <w:rPr>
          <w:rFonts w:ascii="Times New Roman" w:hAnsi="Times New Roman" w:cs="Times New Roman"/>
          <w:sz w:val="24"/>
          <w:szCs w:val="24"/>
        </w:rPr>
        <w:t xml:space="preserve"> Audit zajištění zdravotní a sociální péče Účelem je ověřit, zda pobytová služba poskytuje ošetřovatelskou péči v souladu s platnou legislativou a standardizovanými postupy, a to za pomoci dostatečného množství kvalifikovaného personálu, a zda výnosy z úhrad za poskytování zdravotní péče odpovídají počtu personálu, struktuře klientů, objemu vykonané práce a kvalitě dokumentace. Cílem je také porovnat počet personálu – pracovníků v sociálních službách – s republikovými průměry a případně navrhnout optimalizaci. </w:t>
      </w:r>
    </w:p>
    <w:p w:rsidR="00904F94" w:rsidRPr="00E631EA" w:rsidRDefault="00904F94" w:rsidP="003606AD">
      <w:pPr>
        <w:spacing w:after="0" w:line="360" w:lineRule="auto"/>
        <w:jc w:val="both"/>
        <w:rPr>
          <w:rFonts w:ascii="Times New Roman" w:hAnsi="Times New Roman" w:cs="Times New Roman"/>
          <w:sz w:val="24"/>
          <w:szCs w:val="24"/>
        </w:rPr>
      </w:pPr>
      <w:r w:rsidRPr="00904F94">
        <w:rPr>
          <w:rFonts w:ascii="Times New Roman" w:hAnsi="Times New Roman" w:cs="Times New Roman"/>
          <w:sz w:val="24"/>
          <w:szCs w:val="24"/>
        </w:rPr>
        <w:t xml:space="preserve">Předmětem hodnocení je: › mapování potřeb klienta v době před nástupem a při nástupu, zapojení zdravotníků do posuzování a jednání se zájemcem o službu; › plánování péče dle potřeb klienta; › návaznost na lékařskou péči praktického lékaře a specialistů; › zajišťování péče nelékařskými zdravotnickými pracovníky; › vedení ošetřovatelské dokumentace › posouzení efektivity vykazování a výnosů z veřejného zdravotního pojištění; › personální analýza pracovníků v sociálních službách v </w:t>
      </w:r>
      <w:r w:rsidRPr="00E631EA">
        <w:rPr>
          <w:rFonts w:ascii="Times New Roman" w:hAnsi="Times New Roman" w:cs="Times New Roman"/>
          <w:sz w:val="24"/>
          <w:szCs w:val="24"/>
        </w:rPr>
        <w:t>porovnání s ostatními poskytovateli v ČR; › analýza počtu personálu v návaznosti na vykazování ošetřovatelské péče; › analýza počtu a struktury personálu v návaznosti na strukturu klientů dle příspěvku na péči; › optimalizace struktury a počtu personálu – pracovníků v soc. službách.</w:t>
      </w:r>
    </w:p>
    <w:p w:rsidR="00123138" w:rsidRPr="00E631EA" w:rsidRDefault="00123138" w:rsidP="003606AD">
      <w:pPr>
        <w:spacing w:after="0" w:line="360" w:lineRule="auto"/>
        <w:jc w:val="both"/>
        <w:rPr>
          <w:rFonts w:ascii="Times New Roman" w:hAnsi="Times New Roman" w:cs="Times New Roman"/>
          <w:sz w:val="24"/>
          <w:szCs w:val="24"/>
        </w:rPr>
      </w:pPr>
    </w:p>
    <w:p w:rsidR="00123138" w:rsidRPr="00E631EA" w:rsidRDefault="00123138" w:rsidP="003606AD">
      <w:pPr>
        <w:spacing w:after="0" w:line="360" w:lineRule="auto"/>
        <w:jc w:val="both"/>
        <w:rPr>
          <w:rFonts w:ascii="Times New Roman" w:hAnsi="Times New Roman" w:cs="Times New Roman"/>
          <w:b/>
          <w:sz w:val="24"/>
          <w:szCs w:val="24"/>
        </w:rPr>
      </w:pPr>
      <w:r w:rsidRPr="00E631EA">
        <w:rPr>
          <w:rFonts w:ascii="Times New Roman" w:hAnsi="Times New Roman" w:cs="Times New Roman"/>
          <w:b/>
          <w:sz w:val="24"/>
          <w:szCs w:val="24"/>
        </w:rPr>
        <w:t>Závěrečná zpráva auditorů:</w:t>
      </w:r>
    </w:p>
    <w:p w:rsidR="00123138" w:rsidRPr="00E631EA" w:rsidRDefault="00123138" w:rsidP="003606AD">
      <w:pPr>
        <w:spacing w:after="0" w:line="360" w:lineRule="auto"/>
        <w:jc w:val="both"/>
        <w:rPr>
          <w:rFonts w:ascii="Times New Roman" w:hAnsi="Times New Roman" w:cs="Times New Roman"/>
          <w:i/>
          <w:sz w:val="24"/>
          <w:szCs w:val="24"/>
        </w:rPr>
      </w:pPr>
      <w:r w:rsidRPr="00E631EA">
        <w:rPr>
          <w:rFonts w:ascii="Times New Roman" w:hAnsi="Times New Roman" w:cs="Times New Roman"/>
          <w:i/>
          <w:sz w:val="24"/>
          <w:szCs w:val="24"/>
        </w:rPr>
        <w:t>„Z místního šetření je patrné, že poskytovatel trvale zvyšuje kvalitu služeb. Celkově je služba na vysoké úrovni, zejména díky velice erudovanému managementu, kvalitnímu personálu a dostatečnému počtu personálu. V domově je příjemná atmosféra, personál management respektuje. Zpracování interních předpisů i kontrola jejich dodržování je na vysoké úrovni. Domov poskytuje pěkné a důstojné bydlení, dobré stravování a vysokou úroveň péče.“</w:t>
      </w:r>
    </w:p>
    <w:p w:rsidR="00904F94" w:rsidRPr="00E631EA" w:rsidRDefault="00904F94" w:rsidP="00877598">
      <w:pPr>
        <w:rPr>
          <w:rFonts w:ascii="Times New Roman" w:hAnsi="Times New Roman" w:cs="Times New Roman"/>
          <w:sz w:val="24"/>
          <w:szCs w:val="24"/>
        </w:rPr>
      </w:pPr>
    </w:p>
    <w:p w:rsidR="003606AD" w:rsidRPr="00E631EA" w:rsidRDefault="006F3C35" w:rsidP="00877598">
      <w:pPr>
        <w:rPr>
          <w:rFonts w:ascii="Times New Roman" w:hAnsi="Times New Roman" w:cs="Times New Roman"/>
          <w:b/>
          <w:sz w:val="28"/>
          <w:szCs w:val="28"/>
          <w:u w:val="single"/>
        </w:rPr>
      </w:pPr>
      <w:r w:rsidRPr="00E631EA">
        <w:rPr>
          <w:rFonts w:ascii="Times New Roman" w:hAnsi="Times New Roman" w:cs="Times New Roman"/>
          <w:b/>
          <w:sz w:val="28"/>
          <w:szCs w:val="28"/>
          <w:u w:val="single"/>
        </w:rPr>
        <w:t>Aktivizační činnosti</w:t>
      </w:r>
    </w:p>
    <w:p w:rsidR="00253A69" w:rsidRPr="00E631EA" w:rsidRDefault="00253A69" w:rsidP="00253A69">
      <w:pPr>
        <w:spacing w:after="0" w:line="360" w:lineRule="auto"/>
        <w:jc w:val="both"/>
        <w:rPr>
          <w:rFonts w:ascii="Times New Roman" w:hAnsi="Times New Roman" w:cs="Times New Roman"/>
          <w:sz w:val="24"/>
          <w:szCs w:val="24"/>
        </w:rPr>
      </w:pPr>
      <w:r w:rsidRPr="00E631EA">
        <w:rPr>
          <w:rFonts w:ascii="Times New Roman" w:hAnsi="Times New Roman" w:cs="Times New Roman"/>
          <w:sz w:val="24"/>
          <w:szCs w:val="24"/>
        </w:rPr>
        <w:t xml:space="preserve">Od října roku 2018 jsme přijali třetí aktivizační pracovnici, která má vystudovanou arteterapii a tím pádem se naše aktivity mohly rozšířit o další činnosti.  Prostor na jídelně na IV. podlaží jsme přizpůsobili, abychom se zde mohli scházet s klienty, kteří dávají přednost setkáním v menších skupinkách. Jde většinou o klienty s potřebou větší míry podpory.  Mají tak prostor k tomu, aby jim bylo věnováno více individuální pozornosti. Stále zde něco tvoříme, malujeme. Volíme takové </w:t>
      </w:r>
      <w:r w:rsidRPr="00E631EA">
        <w:rPr>
          <w:rFonts w:ascii="Times New Roman" w:hAnsi="Times New Roman" w:cs="Times New Roman"/>
          <w:sz w:val="24"/>
          <w:szCs w:val="24"/>
        </w:rPr>
        <w:lastRenderedPageBreak/>
        <w:t xml:space="preserve">techniky a postupy, které jim vyhovují. Tito klienti nejsou školení výtvarníci, přesto si touto činností rádi zpříjemní volný čas. Strach, obavy a nejistotu pramenící z toho, že něco takového dělali naposledy ve škole, lze překonat. A to tím, že se zvolí vhodná technika. </w:t>
      </w:r>
    </w:p>
    <w:p w:rsidR="00253A69" w:rsidRPr="00E631EA" w:rsidRDefault="00253A69" w:rsidP="00253A69">
      <w:pPr>
        <w:spacing w:after="0" w:line="360" w:lineRule="auto"/>
        <w:jc w:val="both"/>
        <w:rPr>
          <w:rFonts w:ascii="Times New Roman" w:hAnsi="Times New Roman" w:cs="Times New Roman"/>
          <w:sz w:val="24"/>
          <w:szCs w:val="24"/>
        </w:rPr>
      </w:pPr>
      <w:r w:rsidRPr="00E631EA">
        <w:rPr>
          <w:rFonts w:ascii="Times New Roman" w:hAnsi="Times New Roman" w:cs="Times New Roman"/>
          <w:sz w:val="24"/>
          <w:szCs w:val="24"/>
        </w:rPr>
        <w:t xml:space="preserve">Hodně kombinujeme voskovky a vodové či potravinářské barvy. Často otiskujeme, rozmýváme kresbu vytvořenou gelovými rozmývacími pastely, vystřižené obrázky vlepujeme na barvou namalované podklady, pracujeme s enkaustickou žehličkou či perem. </w:t>
      </w:r>
    </w:p>
    <w:p w:rsidR="00253A69" w:rsidRPr="00E631EA" w:rsidRDefault="00253A69" w:rsidP="00253A69">
      <w:pPr>
        <w:spacing w:after="0" w:line="360" w:lineRule="auto"/>
        <w:jc w:val="both"/>
        <w:rPr>
          <w:rFonts w:ascii="Times New Roman" w:hAnsi="Times New Roman" w:cs="Times New Roman"/>
          <w:sz w:val="24"/>
          <w:szCs w:val="24"/>
        </w:rPr>
      </w:pPr>
      <w:r w:rsidRPr="00E631EA">
        <w:rPr>
          <w:rFonts w:ascii="Times New Roman" w:hAnsi="Times New Roman" w:cs="Times New Roman"/>
          <w:sz w:val="24"/>
          <w:szCs w:val="24"/>
        </w:rPr>
        <w:t xml:space="preserve">Cílem není vytvářet umělecká díla do galerií, ale aby je potěšil výsledek a byli spokojeni. </w:t>
      </w:r>
    </w:p>
    <w:p w:rsidR="00253A69" w:rsidRPr="00B03752" w:rsidRDefault="00253A69" w:rsidP="00253A69">
      <w:pPr>
        <w:spacing w:after="0" w:line="360" w:lineRule="auto"/>
        <w:jc w:val="both"/>
        <w:rPr>
          <w:rFonts w:ascii="Times New Roman" w:hAnsi="Times New Roman" w:cs="Times New Roman"/>
          <w:b/>
          <w:sz w:val="24"/>
          <w:szCs w:val="24"/>
        </w:rPr>
      </w:pPr>
      <w:r w:rsidRPr="00B03752">
        <w:rPr>
          <w:rFonts w:ascii="Times New Roman" w:hAnsi="Times New Roman" w:cs="Times New Roman"/>
          <w:b/>
          <w:sz w:val="24"/>
          <w:szCs w:val="24"/>
        </w:rPr>
        <w:t>Zooterapie v domově pro seniory</w:t>
      </w:r>
    </w:p>
    <w:p w:rsidR="00253A69" w:rsidRPr="00E631EA" w:rsidRDefault="00253A69" w:rsidP="00253A69">
      <w:pPr>
        <w:spacing w:after="0" w:line="360" w:lineRule="auto"/>
        <w:jc w:val="both"/>
        <w:rPr>
          <w:rFonts w:ascii="Times New Roman" w:hAnsi="Times New Roman" w:cs="Times New Roman"/>
          <w:sz w:val="24"/>
          <w:szCs w:val="24"/>
          <w:shd w:val="clear" w:color="auto" w:fill="FFFFFF"/>
        </w:rPr>
      </w:pPr>
      <w:r w:rsidRPr="00E631EA">
        <w:rPr>
          <w:rFonts w:ascii="Times New Roman" w:hAnsi="Times New Roman" w:cs="Times New Roman"/>
          <w:sz w:val="24"/>
          <w:szCs w:val="24"/>
          <w:shd w:val="clear" w:color="auto" w:fill="FFFFFF"/>
        </w:rPr>
        <w:t xml:space="preserve">Zooterapie využívá už i jen pouhé přítomnosti zvířete, která vyvolává pocit bezpečí a klidu. Snižuje se napětí, stres i krevní tlak. Zvíře dokáže člověka psychicky i fyzicky stimulovat, má schopnost vyvolat silné emoce, podporovat komunikaci a uvolňovat různé bloky, které lidem brání se vyjadřovat a projevovat se. Lidé v přítomnosti psů i dalších zvířat ožívají, otevírají se okolí, jsou radostnější, pohotověji reagují, zapomínají na své problémy a bolesti. Díky zvířeti lze snadněji navázat komunikaci klienta a terapeuta. </w:t>
      </w:r>
    </w:p>
    <w:p w:rsidR="00253A69" w:rsidRPr="00E631EA" w:rsidRDefault="00253A69" w:rsidP="00253A69">
      <w:pPr>
        <w:spacing w:after="0" w:line="360" w:lineRule="auto"/>
        <w:jc w:val="both"/>
        <w:rPr>
          <w:rFonts w:ascii="Times New Roman" w:hAnsi="Times New Roman" w:cs="Times New Roman"/>
          <w:sz w:val="24"/>
          <w:szCs w:val="24"/>
          <w:shd w:val="clear" w:color="auto" w:fill="FFFFFF"/>
        </w:rPr>
      </w:pPr>
      <w:r w:rsidRPr="00E631EA">
        <w:rPr>
          <w:rFonts w:ascii="Times New Roman" w:hAnsi="Times New Roman" w:cs="Times New Roman"/>
          <w:sz w:val="24"/>
          <w:szCs w:val="24"/>
          <w:shd w:val="clear" w:color="auto" w:fill="FFFFFF"/>
        </w:rPr>
        <w:t>U nás v domově pro seniory probíhá v rámci zooterapie již delší čas oblíbená canisterapie, jezdí k nám paní Monika se svými pejsky. Od loňského roku máme nový přírůstek morče Ferdu, který se zabydlel v recepci a aktivizačních činností se účastní ve svém přenosném pelíšku.</w:t>
      </w:r>
    </w:p>
    <w:p w:rsidR="00D53D41" w:rsidRDefault="00D53D41" w:rsidP="00877598">
      <w:pPr>
        <w:rPr>
          <w:rFonts w:ascii="Times New Roman" w:hAnsi="Times New Roman" w:cs="Times New Roman"/>
          <w:sz w:val="24"/>
          <w:szCs w:val="24"/>
        </w:rPr>
      </w:pPr>
    </w:p>
    <w:p w:rsidR="00D53D41" w:rsidRDefault="00D53D41" w:rsidP="00877598">
      <w:pPr>
        <w:rPr>
          <w:rFonts w:ascii="Times New Roman" w:hAnsi="Times New Roman" w:cs="Times New Roman"/>
          <w:sz w:val="24"/>
          <w:szCs w:val="24"/>
        </w:rPr>
      </w:pPr>
    </w:p>
    <w:p w:rsidR="00D53D41" w:rsidRDefault="00D53D41" w:rsidP="00877598">
      <w:pPr>
        <w:rPr>
          <w:rFonts w:ascii="Times New Roman" w:hAnsi="Times New Roman" w:cs="Times New Roman"/>
          <w:sz w:val="24"/>
          <w:szCs w:val="24"/>
        </w:rPr>
      </w:pPr>
    </w:p>
    <w:p w:rsidR="00D53D41" w:rsidRDefault="00D53D41" w:rsidP="00877598">
      <w:pPr>
        <w:rPr>
          <w:rFonts w:ascii="Times New Roman" w:hAnsi="Times New Roman" w:cs="Times New Roman"/>
          <w:sz w:val="24"/>
          <w:szCs w:val="24"/>
        </w:rPr>
      </w:pPr>
    </w:p>
    <w:p w:rsidR="00D53D41" w:rsidRDefault="00D53D41"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253A69" w:rsidRDefault="00253A69" w:rsidP="00877598">
      <w:pPr>
        <w:rPr>
          <w:rFonts w:ascii="Times New Roman" w:hAnsi="Times New Roman" w:cs="Times New Roman"/>
          <w:sz w:val="24"/>
          <w:szCs w:val="24"/>
        </w:rPr>
      </w:pPr>
    </w:p>
    <w:p w:rsidR="00D53D41" w:rsidRPr="00B93E22" w:rsidRDefault="00C75CD2" w:rsidP="00C75CD2">
      <w:pPr>
        <w:jc w:val="center"/>
        <w:rPr>
          <w:rFonts w:ascii="Times New Roman" w:hAnsi="Times New Roman" w:cs="Times New Roman"/>
          <w:b/>
          <w:sz w:val="28"/>
          <w:szCs w:val="28"/>
        </w:rPr>
      </w:pPr>
      <w:r w:rsidRPr="00B93E22">
        <w:rPr>
          <w:rFonts w:ascii="Times New Roman" w:hAnsi="Times New Roman" w:cs="Times New Roman"/>
          <w:b/>
          <w:sz w:val="28"/>
          <w:szCs w:val="28"/>
        </w:rPr>
        <w:lastRenderedPageBreak/>
        <w:t>Grafické znázornění roku k 31. 12. 2019</w:t>
      </w:r>
    </w:p>
    <w:p w:rsidR="00C75CD2" w:rsidRDefault="00C75CD2" w:rsidP="00877598">
      <w:pPr>
        <w:rPr>
          <w:rFonts w:ascii="Times New Roman" w:hAnsi="Times New Roman" w:cs="Times New Roman"/>
          <w:sz w:val="24"/>
          <w:szCs w:val="24"/>
        </w:rPr>
      </w:pPr>
    </w:p>
    <w:p w:rsidR="00C75CD2" w:rsidRPr="00C75CD2" w:rsidRDefault="00C75CD2" w:rsidP="00877598">
      <w:pPr>
        <w:rPr>
          <w:rFonts w:ascii="Times New Roman" w:hAnsi="Times New Roman" w:cs="Times New Roman"/>
          <w:b/>
          <w:sz w:val="24"/>
          <w:szCs w:val="24"/>
        </w:rPr>
      </w:pPr>
      <w:r w:rsidRPr="00C75CD2">
        <w:rPr>
          <w:rFonts w:ascii="Times New Roman" w:hAnsi="Times New Roman" w:cs="Times New Roman"/>
          <w:b/>
          <w:sz w:val="24"/>
          <w:szCs w:val="24"/>
        </w:rPr>
        <w:t>Věk klientů</w:t>
      </w:r>
    </w:p>
    <w:p w:rsidR="00C75CD2" w:rsidRDefault="00C75CD2" w:rsidP="00C75CD2">
      <w:pPr>
        <w:jc w:val="center"/>
        <w:rPr>
          <w:rFonts w:ascii="Times New Roman" w:hAnsi="Times New Roman" w:cs="Times New Roman"/>
          <w:sz w:val="24"/>
          <w:szCs w:val="24"/>
        </w:rPr>
      </w:pPr>
      <w:r>
        <w:rPr>
          <w:noProof/>
          <w:lang w:eastAsia="cs-CZ"/>
        </w:rPr>
        <w:drawing>
          <wp:inline distT="0" distB="0" distL="0" distR="0" wp14:anchorId="425D3AE9" wp14:editId="2CD2BB91">
            <wp:extent cx="5857875" cy="3114675"/>
            <wp:effectExtent l="0" t="0" r="9525" b="9525"/>
            <wp:docPr id="34" name="Graf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75CD2" w:rsidRDefault="00ED650B" w:rsidP="00877598">
      <w:pPr>
        <w:rPr>
          <w:rFonts w:ascii="Times New Roman" w:hAnsi="Times New Roman" w:cs="Times New Roman"/>
          <w:sz w:val="24"/>
          <w:szCs w:val="24"/>
        </w:rPr>
      </w:pPr>
      <w:r>
        <w:rPr>
          <w:rFonts w:ascii="Times New Roman" w:hAnsi="Times New Roman" w:cs="Times New Roman"/>
          <w:sz w:val="24"/>
          <w:szCs w:val="24"/>
        </w:rPr>
        <w:t>V srpnu 2019 oslavila jedna klientka své 100. narozeniny.</w:t>
      </w:r>
    </w:p>
    <w:p w:rsidR="00ED650B" w:rsidRDefault="00ED650B" w:rsidP="00877598">
      <w:pPr>
        <w:rPr>
          <w:rFonts w:ascii="Times New Roman" w:hAnsi="Times New Roman" w:cs="Times New Roman"/>
          <w:sz w:val="24"/>
          <w:szCs w:val="24"/>
        </w:rPr>
      </w:pPr>
    </w:p>
    <w:p w:rsidR="00C75CD2" w:rsidRPr="00C75CD2" w:rsidRDefault="00C75CD2" w:rsidP="00877598">
      <w:pPr>
        <w:rPr>
          <w:rFonts w:ascii="Times New Roman" w:hAnsi="Times New Roman" w:cs="Times New Roman"/>
          <w:b/>
          <w:sz w:val="24"/>
          <w:szCs w:val="24"/>
        </w:rPr>
      </w:pPr>
      <w:r w:rsidRPr="00C75CD2">
        <w:rPr>
          <w:rFonts w:ascii="Times New Roman" w:hAnsi="Times New Roman" w:cs="Times New Roman"/>
          <w:b/>
          <w:sz w:val="24"/>
          <w:szCs w:val="24"/>
        </w:rPr>
        <w:t>Věk klientů v %</w:t>
      </w:r>
    </w:p>
    <w:p w:rsidR="00C75CD2" w:rsidRDefault="00C75CD2" w:rsidP="00C75CD2">
      <w:pPr>
        <w:jc w:val="center"/>
        <w:rPr>
          <w:rFonts w:ascii="Times New Roman" w:hAnsi="Times New Roman" w:cs="Times New Roman"/>
          <w:sz w:val="24"/>
          <w:szCs w:val="24"/>
        </w:rPr>
      </w:pPr>
      <w:r>
        <w:rPr>
          <w:noProof/>
          <w:lang w:eastAsia="cs-CZ"/>
        </w:rPr>
        <w:drawing>
          <wp:inline distT="0" distB="0" distL="0" distR="0" wp14:anchorId="120B83C8" wp14:editId="6D196838">
            <wp:extent cx="5857875" cy="3114675"/>
            <wp:effectExtent l="0" t="0" r="9525" b="9525"/>
            <wp:docPr id="35" name="Graf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75CD2" w:rsidRPr="00C75CD2" w:rsidRDefault="00ED650B" w:rsidP="00C75CD2">
      <w:pPr>
        <w:rPr>
          <w:rFonts w:ascii="Times New Roman" w:hAnsi="Times New Roman" w:cs="Times New Roman"/>
          <w:sz w:val="24"/>
          <w:szCs w:val="24"/>
        </w:rPr>
      </w:pPr>
      <w:r>
        <w:rPr>
          <w:rFonts w:ascii="Times New Roman" w:hAnsi="Times New Roman" w:cs="Times New Roman"/>
          <w:sz w:val="24"/>
          <w:szCs w:val="24"/>
        </w:rPr>
        <w:t>Největší % klientů tvoří věková skupina nad 86 let.</w:t>
      </w:r>
    </w:p>
    <w:p w:rsidR="00C75CD2" w:rsidRDefault="00C75CD2" w:rsidP="00C75CD2">
      <w:pPr>
        <w:tabs>
          <w:tab w:val="left" w:pos="2655"/>
        </w:tabs>
        <w:rPr>
          <w:rFonts w:ascii="Times New Roman" w:hAnsi="Times New Roman" w:cs="Times New Roman"/>
          <w:sz w:val="24"/>
          <w:szCs w:val="24"/>
        </w:rPr>
      </w:pPr>
      <w:r>
        <w:rPr>
          <w:rFonts w:ascii="Times New Roman" w:hAnsi="Times New Roman" w:cs="Times New Roman"/>
          <w:sz w:val="24"/>
          <w:szCs w:val="24"/>
        </w:rPr>
        <w:tab/>
      </w:r>
    </w:p>
    <w:p w:rsidR="00C75CD2" w:rsidRPr="00C75CD2" w:rsidRDefault="00C75CD2" w:rsidP="00C75CD2">
      <w:pPr>
        <w:tabs>
          <w:tab w:val="left" w:pos="2655"/>
        </w:tabs>
        <w:rPr>
          <w:rFonts w:ascii="Times New Roman" w:hAnsi="Times New Roman" w:cs="Times New Roman"/>
          <w:b/>
          <w:sz w:val="24"/>
          <w:szCs w:val="24"/>
        </w:rPr>
      </w:pPr>
      <w:r w:rsidRPr="00C75CD2">
        <w:rPr>
          <w:rFonts w:ascii="Times New Roman" w:hAnsi="Times New Roman" w:cs="Times New Roman"/>
          <w:b/>
          <w:sz w:val="24"/>
          <w:szCs w:val="24"/>
        </w:rPr>
        <w:lastRenderedPageBreak/>
        <w:t>Pohlaví klientů</w:t>
      </w:r>
    </w:p>
    <w:p w:rsidR="00C75CD2" w:rsidRDefault="00C75CD2" w:rsidP="00C75CD2">
      <w:pPr>
        <w:tabs>
          <w:tab w:val="left" w:pos="2655"/>
        </w:tabs>
        <w:jc w:val="center"/>
        <w:rPr>
          <w:rFonts w:ascii="Times New Roman" w:hAnsi="Times New Roman" w:cs="Times New Roman"/>
          <w:sz w:val="24"/>
          <w:szCs w:val="24"/>
        </w:rPr>
      </w:pPr>
      <w:r>
        <w:rPr>
          <w:noProof/>
          <w:lang w:eastAsia="cs-CZ"/>
        </w:rPr>
        <w:drawing>
          <wp:inline distT="0" distB="0" distL="0" distR="0" wp14:anchorId="41C2968A" wp14:editId="2C671710">
            <wp:extent cx="5857875" cy="3114675"/>
            <wp:effectExtent l="0" t="0" r="9525" b="9525"/>
            <wp:docPr id="36" name="Graf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75CD2" w:rsidRDefault="00C75CD2" w:rsidP="00C75CD2">
      <w:pPr>
        <w:rPr>
          <w:rFonts w:ascii="Times New Roman" w:hAnsi="Times New Roman" w:cs="Times New Roman"/>
          <w:sz w:val="24"/>
          <w:szCs w:val="24"/>
        </w:rPr>
      </w:pPr>
      <w:r>
        <w:rPr>
          <w:rFonts w:ascii="Times New Roman" w:hAnsi="Times New Roman" w:cs="Times New Roman"/>
          <w:sz w:val="24"/>
          <w:szCs w:val="24"/>
        </w:rPr>
        <w:t>Poměr mužů a žen je stejně jako v předchozích letech nevyrovnaný</w:t>
      </w:r>
      <w:r w:rsidR="005B3DE2">
        <w:rPr>
          <w:rFonts w:ascii="Times New Roman" w:hAnsi="Times New Roman" w:cs="Times New Roman"/>
          <w:sz w:val="24"/>
          <w:szCs w:val="24"/>
        </w:rPr>
        <w:t xml:space="preserve"> (viz. </w:t>
      </w:r>
      <w:proofErr w:type="gramStart"/>
      <w:r w:rsidR="005B3DE2">
        <w:rPr>
          <w:rFonts w:ascii="Times New Roman" w:hAnsi="Times New Roman" w:cs="Times New Roman"/>
          <w:sz w:val="24"/>
          <w:szCs w:val="24"/>
        </w:rPr>
        <w:t>tabulka</w:t>
      </w:r>
      <w:proofErr w:type="gramEnd"/>
      <w:r w:rsidR="005B3DE2">
        <w:rPr>
          <w:rFonts w:ascii="Times New Roman" w:hAnsi="Times New Roman" w:cs="Times New Roman"/>
          <w:sz w:val="24"/>
          <w:szCs w:val="24"/>
        </w:rPr>
        <w:t>)</w:t>
      </w:r>
      <w:r>
        <w:rPr>
          <w:rFonts w:ascii="Times New Roman" w:hAnsi="Times New Roman" w:cs="Times New Roman"/>
          <w:sz w:val="24"/>
          <w:szCs w:val="24"/>
        </w:rPr>
        <w:t xml:space="preserve">. K 31. 12. 2019 bylo žen v domově 64 a mužů 23. </w:t>
      </w:r>
    </w:p>
    <w:p w:rsidR="005B3DE2" w:rsidRPr="005B3DE2" w:rsidRDefault="005B3DE2" w:rsidP="00C75CD2">
      <w:pPr>
        <w:rPr>
          <w:rFonts w:ascii="Times New Roman" w:hAnsi="Times New Roman" w:cs="Times New Roman"/>
          <w:b/>
          <w:sz w:val="24"/>
          <w:szCs w:val="24"/>
        </w:rPr>
      </w:pPr>
      <w:r w:rsidRPr="005B3DE2">
        <w:rPr>
          <w:rFonts w:ascii="Times New Roman" w:hAnsi="Times New Roman" w:cs="Times New Roman"/>
          <w:b/>
          <w:sz w:val="24"/>
          <w:szCs w:val="24"/>
        </w:rPr>
        <w:t>Přehled mužů a žen v letech 2017-2019.</w:t>
      </w:r>
    </w:p>
    <w:tbl>
      <w:tblPr>
        <w:tblW w:w="3260" w:type="dxa"/>
        <w:jc w:val="center"/>
        <w:tblCellMar>
          <w:left w:w="70" w:type="dxa"/>
          <w:right w:w="70" w:type="dxa"/>
        </w:tblCellMar>
        <w:tblLook w:val="04A0" w:firstRow="1" w:lastRow="0" w:firstColumn="1" w:lastColumn="0" w:noHBand="0" w:noVBand="1"/>
      </w:tblPr>
      <w:tblGrid>
        <w:gridCol w:w="1120"/>
        <w:gridCol w:w="1140"/>
        <w:gridCol w:w="1000"/>
      </w:tblGrid>
      <w:tr w:rsidR="005B3DE2" w:rsidRPr="005B3DE2" w:rsidTr="005B3DE2">
        <w:trPr>
          <w:trHeight w:val="315"/>
          <w:jc w:val="center"/>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rok</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muž</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žena</w:t>
            </w:r>
          </w:p>
        </w:tc>
      </w:tr>
      <w:tr w:rsidR="005B3DE2" w:rsidRPr="005B3DE2" w:rsidTr="005B3DE2">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2017</w:t>
            </w:r>
          </w:p>
        </w:tc>
        <w:tc>
          <w:tcPr>
            <w:tcW w:w="1140" w:type="dxa"/>
            <w:tcBorders>
              <w:top w:val="nil"/>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19</w:t>
            </w:r>
          </w:p>
        </w:tc>
        <w:tc>
          <w:tcPr>
            <w:tcW w:w="1000" w:type="dxa"/>
            <w:tcBorders>
              <w:top w:val="nil"/>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70</w:t>
            </w:r>
          </w:p>
        </w:tc>
      </w:tr>
      <w:tr w:rsidR="005B3DE2" w:rsidRPr="005B3DE2" w:rsidTr="005B3DE2">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2018</w:t>
            </w:r>
          </w:p>
        </w:tc>
        <w:tc>
          <w:tcPr>
            <w:tcW w:w="1140" w:type="dxa"/>
            <w:tcBorders>
              <w:top w:val="nil"/>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23</w:t>
            </w:r>
          </w:p>
        </w:tc>
        <w:tc>
          <w:tcPr>
            <w:tcW w:w="1000" w:type="dxa"/>
            <w:tcBorders>
              <w:top w:val="nil"/>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66</w:t>
            </w:r>
          </w:p>
        </w:tc>
      </w:tr>
      <w:tr w:rsidR="005B3DE2" w:rsidRPr="005B3DE2" w:rsidTr="005B3DE2">
        <w:trPr>
          <w:trHeight w:val="315"/>
          <w:jc w:val="center"/>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2019</w:t>
            </w:r>
          </w:p>
        </w:tc>
        <w:tc>
          <w:tcPr>
            <w:tcW w:w="1140" w:type="dxa"/>
            <w:tcBorders>
              <w:top w:val="nil"/>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23</w:t>
            </w:r>
          </w:p>
        </w:tc>
        <w:tc>
          <w:tcPr>
            <w:tcW w:w="1000" w:type="dxa"/>
            <w:tcBorders>
              <w:top w:val="nil"/>
              <w:left w:val="nil"/>
              <w:bottom w:val="single" w:sz="4" w:space="0" w:color="auto"/>
              <w:right w:val="single" w:sz="4" w:space="0" w:color="auto"/>
            </w:tcBorders>
            <w:shd w:val="clear" w:color="auto" w:fill="auto"/>
            <w:noWrap/>
            <w:vAlign w:val="bottom"/>
            <w:hideMark/>
          </w:tcPr>
          <w:p w:rsidR="005B3DE2" w:rsidRPr="005B3DE2" w:rsidRDefault="005B3DE2" w:rsidP="005B3DE2">
            <w:pPr>
              <w:spacing w:after="0" w:line="240" w:lineRule="auto"/>
              <w:jc w:val="center"/>
              <w:rPr>
                <w:rFonts w:ascii="Times New Roman" w:eastAsia="Times New Roman" w:hAnsi="Times New Roman" w:cs="Times New Roman"/>
                <w:color w:val="000000"/>
                <w:sz w:val="24"/>
                <w:szCs w:val="24"/>
                <w:lang w:eastAsia="cs-CZ"/>
              </w:rPr>
            </w:pPr>
            <w:r w:rsidRPr="005B3DE2">
              <w:rPr>
                <w:rFonts w:ascii="Times New Roman" w:eastAsia="Times New Roman" w:hAnsi="Times New Roman" w:cs="Times New Roman"/>
                <w:color w:val="000000"/>
                <w:sz w:val="24"/>
                <w:szCs w:val="24"/>
                <w:lang w:eastAsia="cs-CZ"/>
              </w:rPr>
              <w:t>64</w:t>
            </w:r>
          </w:p>
        </w:tc>
      </w:tr>
    </w:tbl>
    <w:p w:rsidR="00C75CD2" w:rsidRDefault="00C75CD2" w:rsidP="00C75CD2">
      <w:pPr>
        <w:rPr>
          <w:rFonts w:ascii="Times New Roman" w:hAnsi="Times New Roman" w:cs="Times New Roman"/>
          <w:sz w:val="24"/>
          <w:szCs w:val="24"/>
        </w:rPr>
      </w:pPr>
    </w:p>
    <w:p w:rsidR="005B3DE2" w:rsidRDefault="005B3DE2" w:rsidP="005B3DE2">
      <w:pPr>
        <w:jc w:val="center"/>
        <w:rPr>
          <w:rFonts w:ascii="Times New Roman" w:hAnsi="Times New Roman" w:cs="Times New Roman"/>
          <w:sz w:val="24"/>
          <w:szCs w:val="24"/>
        </w:rPr>
      </w:pPr>
      <w:r>
        <w:rPr>
          <w:noProof/>
          <w:lang w:eastAsia="cs-CZ"/>
        </w:rPr>
        <w:drawing>
          <wp:inline distT="0" distB="0" distL="0" distR="0" wp14:anchorId="6DD9FF04" wp14:editId="616A8221">
            <wp:extent cx="5248275" cy="2914650"/>
            <wp:effectExtent l="0" t="0" r="9525" b="0"/>
            <wp:docPr id="37" name="Graf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D0683" w:rsidRDefault="00AD0683" w:rsidP="005B3DE2">
      <w:pPr>
        <w:jc w:val="center"/>
        <w:rPr>
          <w:rFonts w:ascii="Times New Roman" w:hAnsi="Times New Roman" w:cs="Times New Roman"/>
          <w:sz w:val="24"/>
          <w:szCs w:val="24"/>
        </w:rPr>
      </w:pPr>
    </w:p>
    <w:p w:rsidR="00AD0683" w:rsidRPr="00AD0683" w:rsidRDefault="00AD0683" w:rsidP="00CF4011">
      <w:pPr>
        <w:rPr>
          <w:rFonts w:ascii="Times New Roman" w:hAnsi="Times New Roman" w:cs="Times New Roman"/>
          <w:b/>
          <w:sz w:val="24"/>
          <w:szCs w:val="24"/>
        </w:rPr>
      </w:pPr>
      <w:r w:rsidRPr="00AD0683">
        <w:rPr>
          <w:rFonts w:ascii="Times New Roman" w:hAnsi="Times New Roman" w:cs="Times New Roman"/>
          <w:b/>
          <w:sz w:val="24"/>
          <w:szCs w:val="24"/>
        </w:rPr>
        <w:lastRenderedPageBreak/>
        <w:t>Příspěvek na péči</w:t>
      </w:r>
      <w:r w:rsidR="00CF4011">
        <w:rPr>
          <w:rFonts w:ascii="Times New Roman" w:hAnsi="Times New Roman" w:cs="Times New Roman"/>
          <w:b/>
          <w:sz w:val="24"/>
          <w:szCs w:val="24"/>
        </w:rPr>
        <w:t xml:space="preserve"> k 31. 12. 2019</w:t>
      </w:r>
    </w:p>
    <w:tbl>
      <w:tblPr>
        <w:tblStyle w:val="Mkatabulky"/>
        <w:tblW w:w="0" w:type="auto"/>
        <w:tblLook w:val="04A0" w:firstRow="1" w:lastRow="0" w:firstColumn="1" w:lastColumn="0" w:noHBand="0" w:noVBand="1"/>
      </w:tblPr>
      <w:tblGrid>
        <w:gridCol w:w="4868"/>
        <w:gridCol w:w="4868"/>
      </w:tblGrid>
      <w:tr w:rsidR="000B1D8B" w:rsidTr="000B1D8B">
        <w:tc>
          <w:tcPr>
            <w:tcW w:w="4868" w:type="dxa"/>
          </w:tcPr>
          <w:p w:rsidR="000B1D8B" w:rsidRDefault="000B1D8B" w:rsidP="000B1D8B">
            <w:pPr>
              <w:jc w:val="center"/>
              <w:rPr>
                <w:rFonts w:ascii="Times New Roman" w:hAnsi="Times New Roman" w:cs="Times New Roman"/>
                <w:sz w:val="24"/>
                <w:szCs w:val="24"/>
              </w:rPr>
            </w:pPr>
            <w:r>
              <w:rPr>
                <w:rFonts w:ascii="Times New Roman" w:hAnsi="Times New Roman" w:cs="Times New Roman"/>
                <w:sz w:val="24"/>
                <w:szCs w:val="24"/>
              </w:rPr>
              <w:t>Stupeň</w:t>
            </w:r>
          </w:p>
        </w:tc>
        <w:tc>
          <w:tcPr>
            <w:tcW w:w="4868" w:type="dxa"/>
          </w:tcPr>
          <w:p w:rsidR="000B1D8B" w:rsidRDefault="000B1D8B" w:rsidP="000B1D8B">
            <w:pPr>
              <w:jc w:val="center"/>
              <w:rPr>
                <w:rFonts w:ascii="Times New Roman" w:hAnsi="Times New Roman" w:cs="Times New Roman"/>
                <w:sz w:val="24"/>
                <w:szCs w:val="24"/>
              </w:rPr>
            </w:pPr>
            <w:r>
              <w:rPr>
                <w:rFonts w:ascii="Times New Roman" w:hAnsi="Times New Roman" w:cs="Times New Roman"/>
                <w:sz w:val="24"/>
                <w:szCs w:val="24"/>
              </w:rPr>
              <w:t>Výše příspěvku</w:t>
            </w:r>
          </w:p>
        </w:tc>
      </w:tr>
      <w:tr w:rsidR="000B1D8B" w:rsidTr="000B1D8B">
        <w:tc>
          <w:tcPr>
            <w:tcW w:w="4868" w:type="dxa"/>
          </w:tcPr>
          <w:p w:rsidR="000B1D8B" w:rsidRDefault="000B1D8B" w:rsidP="00CF4011">
            <w:pPr>
              <w:rPr>
                <w:rFonts w:ascii="Times New Roman" w:hAnsi="Times New Roman" w:cs="Times New Roman"/>
                <w:sz w:val="24"/>
                <w:szCs w:val="24"/>
              </w:rPr>
            </w:pPr>
            <w:r>
              <w:rPr>
                <w:rFonts w:ascii="Times New Roman" w:hAnsi="Times New Roman" w:cs="Times New Roman"/>
                <w:sz w:val="24"/>
                <w:szCs w:val="24"/>
              </w:rPr>
              <w:t>I. stupeň</w:t>
            </w:r>
          </w:p>
        </w:tc>
        <w:tc>
          <w:tcPr>
            <w:tcW w:w="4868" w:type="dxa"/>
          </w:tcPr>
          <w:p w:rsidR="000B1D8B" w:rsidRDefault="000B1D8B" w:rsidP="000B1D8B">
            <w:pPr>
              <w:jc w:val="right"/>
              <w:rPr>
                <w:rFonts w:ascii="Times New Roman" w:hAnsi="Times New Roman" w:cs="Times New Roman"/>
                <w:sz w:val="24"/>
                <w:szCs w:val="24"/>
              </w:rPr>
            </w:pPr>
            <w:r>
              <w:rPr>
                <w:rFonts w:ascii="Times New Roman" w:hAnsi="Times New Roman" w:cs="Times New Roman"/>
                <w:sz w:val="24"/>
                <w:szCs w:val="24"/>
              </w:rPr>
              <w:t>880,-</w:t>
            </w:r>
          </w:p>
        </w:tc>
      </w:tr>
      <w:tr w:rsidR="000B1D8B" w:rsidTr="000B1D8B">
        <w:tc>
          <w:tcPr>
            <w:tcW w:w="4868" w:type="dxa"/>
          </w:tcPr>
          <w:p w:rsidR="000B1D8B" w:rsidRDefault="000B1D8B" w:rsidP="00CF4011">
            <w:pPr>
              <w:rPr>
                <w:rFonts w:ascii="Times New Roman" w:hAnsi="Times New Roman" w:cs="Times New Roman"/>
                <w:sz w:val="24"/>
                <w:szCs w:val="24"/>
              </w:rPr>
            </w:pPr>
            <w:r>
              <w:rPr>
                <w:rFonts w:ascii="Times New Roman" w:hAnsi="Times New Roman" w:cs="Times New Roman"/>
                <w:sz w:val="24"/>
                <w:szCs w:val="24"/>
              </w:rPr>
              <w:t>II. stupeň</w:t>
            </w:r>
          </w:p>
        </w:tc>
        <w:tc>
          <w:tcPr>
            <w:tcW w:w="4868" w:type="dxa"/>
          </w:tcPr>
          <w:p w:rsidR="000B1D8B" w:rsidRDefault="000B1D8B" w:rsidP="000B1D8B">
            <w:pPr>
              <w:jc w:val="right"/>
              <w:rPr>
                <w:rFonts w:ascii="Times New Roman" w:hAnsi="Times New Roman" w:cs="Times New Roman"/>
                <w:sz w:val="24"/>
                <w:szCs w:val="24"/>
              </w:rPr>
            </w:pPr>
            <w:r>
              <w:rPr>
                <w:rFonts w:ascii="Times New Roman" w:hAnsi="Times New Roman" w:cs="Times New Roman"/>
                <w:sz w:val="24"/>
                <w:szCs w:val="24"/>
              </w:rPr>
              <w:t>4.400,-</w:t>
            </w:r>
          </w:p>
        </w:tc>
      </w:tr>
      <w:tr w:rsidR="000B1D8B" w:rsidTr="000B1D8B">
        <w:tc>
          <w:tcPr>
            <w:tcW w:w="4868" w:type="dxa"/>
          </w:tcPr>
          <w:p w:rsidR="000B1D8B" w:rsidRDefault="000B1D8B" w:rsidP="00CF4011">
            <w:pPr>
              <w:rPr>
                <w:rFonts w:ascii="Times New Roman" w:hAnsi="Times New Roman" w:cs="Times New Roman"/>
                <w:sz w:val="24"/>
                <w:szCs w:val="24"/>
              </w:rPr>
            </w:pPr>
            <w:r>
              <w:rPr>
                <w:rFonts w:ascii="Times New Roman" w:hAnsi="Times New Roman" w:cs="Times New Roman"/>
                <w:sz w:val="24"/>
                <w:szCs w:val="24"/>
              </w:rPr>
              <w:t>III. stupeň</w:t>
            </w:r>
          </w:p>
        </w:tc>
        <w:tc>
          <w:tcPr>
            <w:tcW w:w="4868" w:type="dxa"/>
          </w:tcPr>
          <w:p w:rsidR="000B1D8B" w:rsidRDefault="000B1D8B" w:rsidP="000B1D8B">
            <w:pPr>
              <w:jc w:val="right"/>
              <w:rPr>
                <w:rFonts w:ascii="Times New Roman" w:hAnsi="Times New Roman" w:cs="Times New Roman"/>
                <w:sz w:val="24"/>
                <w:szCs w:val="24"/>
              </w:rPr>
            </w:pPr>
            <w:r>
              <w:rPr>
                <w:rFonts w:ascii="Times New Roman" w:hAnsi="Times New Roman" w:cs="Times New Roman"/>
                <w:sz w:val="24"/>
                <w:szCs w:val="24"/>
              </w:rPr>
              <w:t>8.800,-</w:t>
            </w:r>
          </w:p>
        </w:tc>
      </w:tr>
      <w:tr w:rsidR="000B1D8B" w:rsidTr="000B1D8B">
        <w:tc>
          <w:tcPr>
            <w:tcW w:w="4868" w:type="dxa"/>
          </w:tcPr>
          <w:p w:rsidR="000B1D8B" w:rsidRDefault="000B1D8B" w:rsidP="00CF4011">
            <w:pPr>
              <w:rPr>
                <w:rFonts w:ascii="Times New Roman" w:hAnsi="Times New Roman" w:cs="Times New Roman"/>
                <w:sz w:val="24"/>
                <w:szCs w:val="24"/>
              </w:rPr>
            </w:pPr>
            <w:r>
              <w:rPr>
                <w:rFonts w:ascii="Times New Roman" w:hAnsi="Times New Roman" w:cs="Times New Roman"/>
                <w:sz w:val="24"/>
                <w:szCs w:val="24"/>
              </w:rPr>
              <w:t>IV. stupeň</w:t>
            </w:r>
          </w:p>
        </w:tc>
        <w:tc>
          <w:tcPr>
            <w:tcW w:w="4868" w:type="dxa"/>
          </w:tcPr>
          <w:p w:rsidR="000B1D8B" w:rsidRDefault="000B1D8B" w:rsidP="000B1D8B">
            <w:pPr>
              <w:jc w:val="right"/>
              <w:rPr>
                <w:rFonts w:ascii="Times New Roman" w:hAnsi="Times New Roman" w:cs="Times New Roman"/>
                <w:sz w:val="24"/>
                <w:szCs w:val="24"/>
              </w:rPr>
            </w:pPr>
            <w:r>
              <w:rPr>
                <w:rFonts w:ascii="Times New Roman" w:hAnsi="Times New Roman" w:cs="Times New Roman"/>
                <w:sz w:val="24"/>
                <w:szCs w:val="24"/>
              </w:rPr>
              <w:t>13.200,-</w:t>
            </w:r>
          </w:p>
        </w:tc>
      </w:tr>
    </w:tbl>
    <w:p w:rsidR="00AD0683" w:rsidRDefault="00AD0683" w:rsidP="00CF4011">
      <w:pPr>
        <w:rPr>
          <w:rFonts w:ascii="Times New Roman" w:hAnsi="Times New Roman" w:cs="Times New Roman"/>
          <w:sz w:val="24"/>
          <w:szCs w:val="24"/>
        </w:rPr>
      </w:pPr>
    </w:p>
    <w:p w:rsidR="00CF4011" w:rsidRDefault="00AC03DD" w:rsidP="00AC03DD">
      <w:pPr>
        <w:jc w:val="center"/>
        <w:rPr>
          <w:rFonts w:ascii="Times New Roman" w:hAnsi="Times New Roman" w:cs="Times New Roman"/>
          <w:sz w:val="24"/>
          <w:szCs w:val="24"/>
        </w:rPr>
      </w:pPr>
      <w:r>
        <w:rPr>
          <w:noProof/>
          <w:lang w:eastAsia="cs-CZ"/>
        </w:rPr>
        <w:drawing>
          <wp:inline distT="0" distB="0" distL="0" distR="0" wp14:anchorId="718948AC" wp14:editId="264D0F7C">
            <wp:extent cx="5857875" cy="3114675"/>
            <wp:effectExtent l="0" t="0" r="9525" b="9525"/>
            <wp:docPr id="52" name="Graf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C03DD" w:rsidRDefault="00AC03DD" w:rsidP="00AC03DD">
      <w:pPr>
        <w:rPr>
          <w:rFonts w:ascii="Times New Roman" w:hAnsi="Times New Roman" w:cs="Times New Roman"/>
          <w:sz w:val="24"/>
          <w:szCs w:val="24"/>
        </w:rPr>
      </w:pPr>
      <w:r>
        <w:rPr>
          <w:rFonts w:ascii="Times New Roman" w:hAnsi="Times New Roman" w:cs="Times New Roman"/>
          <w:sz w:val="24"/>
          <w:szCs w:val="24"/>
        </w:rPr>
        <w:t>k 30. 12. 2019 má 1 klient příspěvek na péči v řízení</w:t>
      </w:r>
    </w:p>
    <w:p w:rsidR="00CF4011" w:rsidRDefault="00CF4011" w:rsidP="00CF4011">
      <w:pPr>
        <w:rPr>
          <w:rFonts w:ascii="Times New Roman" w:hAnsi="Times New Roman" w:cs="Times New Roman"/>
          <w:sz w:val="24"/>
          <w:szCs w:val="24"/>
        </w:rPr>
      </w:pPr>
    </w:p>
    <w:p w:rsidR="00CF4011" w:rsidRPr="00CF4011" w:rsidRDefault="006253E3" w:rsidP="000B1D8B">
      <w:pPr>
        <w:tabs>
          <w:tab w:val="left" w:pos="2820"/>
        </w:tabs>
        <w:jc w:val="center"/>
        <w:rPr>
          <w:rFonts w:ascii="Times New Roman" w:hAnsi="Times New Roman" w:cs="Times New Roman"/>
          <w:sz w:val="24"/>
          <w:szCs w:val="24"/>
        </w:rPr>
      </w:pPr>
      <w:r>
        <w:rPr>
          <w:noProof/>
          <w:lang w:eastAsia="cs-CZ"/>
        </w:rPr>
        <w:drawing>
          <wp:inline distT="0" distB="0" distL="0" distR="0" wp14:anchorId="005FE244" wp14:editId="25038080">
            <wp:extent cx="5857875" cy="3114675"/>
            <wp:effectExtent l="0" t="0" r="9525" b="9525"/>
            <wp:docPr id="51" name="Graf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F4011" w:rsidRDefault="006253E3" w:rsidP="000B1D8B">
      <w:pPr>
        <w:rPr>
          <w:rFonts w:ascii="Times New Roman" w:hAnsi="Times New Roman" w:cs="Times New Roman"/>
          <w:sz w:val="24"/>
          <w:szCs w:val="24"/>
        </w:rPr>
      </w:pPr>
      <w:r>
        <w:rPr>
          <w:rFonts w:ascii="Times New Roman" w:hAnsi="Times New Roman" w:cs="Times New Roman"/>
          <w:sz w:val="24"/>
          <w:szCs w:val="24"/>
        </w:rPr>
        <w:t>58</w:t>
      </w:r>
      <w:r w:rsidR="000B1D8B">
        <w:rPr>
          <w:rFonts w:ascii="Times New Roman" w:hAnsi="Times New Roman" w:cs="Times New Roman"/>
          <w:sz w:val="24"/>
          <w:szCs w:val="24"/>
        </w:rPr>
        <w:t xml:space="preserve">% příspěvků na péči tvoří IV. a III. stupeň, </w:t>
      </w:r>
      <w:r w:rsidR="00DD5571">
        <w:rPr>
          <w:rFonts w:ascii="Times New Roman" w:hAnsi="Times New Roman" w:cs="Times New Roman"/>
          <w:sz w:val="24"/>
          <w:szCs w:val="24"/>
        </w:rPr>
        <w:t xml:space="preserve">vyčísleno v prosinci 2019 na </w:t>
      </w:r>
      <w:r>
        <w:rPr>
          <w:rFonts w:ascii="Times New Roman" w:hAnsi="Times New Roman" w:cs="Times New Roman"/>
          <w:sz w:val="24"/>
          <w:szCs w:val="24"/>
        </w:rPr>
        <w:t>497.200</w:t>
      </w:r>
      <w:r w:rsidR="000B1D8B">
        <w:rPr>
          <w:rFonts w:ascii="Times New Roman" w:hAnsi="Times New Roman" w:cs="Times New Roman"/>
          <w:sz w:val="24"/>
          <w:szCs w:val="24"/>
        </w:rPr>
        <w:t>,- Kč</w:t>
      </w:r>
    </w:p>
    <w:p w:rsidR="00CF4011" w:rsidRPr="00B36D77" w:rsidRDefault="00AC3460" w:rsidP="00CF4011">
      <w:pPr>
        <w:tabs>
          <w:tab w:val="left" w:pos="3735"/>
        </w:tabs>
        <w:rPr>
          <w:rFonts w:ascii="Times New Roman" w:hAnsi="Times New Roman" w:cs="Times New Roman"/>
          <w:b/>
          <w:sz w:val="24"/>
          <w:szCs w:val="24"/>
        </w:rPr>
      </w:pPr>
      <w:r>
        <w:rPr>
          <w:rFonts w:ascii="Times New Roman" w:hAnsi="Times New Roman" w:cs="Times New Roman"/>
          <w:b/>
          <w:sz w:val="24"/>
          <w:szCs w:val="24"/>
        </w:rPr>
        <w:lastRenderedPageBreak/>
        <w:t>Obsazenost lůžek</w:t>
      </w:r>
    </w:p>
    <w:p w:rsidR="00CF4011" w:rsidRDefault="004E5428" w:rsidP="00CF4011">
      <w:pPr>
        <w:tabs>
          <w:tab w:val="left" w:pos="3735"/>
        </w:tabs>
        <w:rPr>
          <w:rFonts w:ascii="Times New Roman" w:hAnsi="Times New Roman" w:cs="Times New Roman"/>
          <w:sz w:val="24"/>
          <w:szCs w:val="24"/>
        </w:rPr>
      </w:pPr>
      <w:r>
        <w:rPr>
          <w:rFonts w:ascii="Times New Roman" w:hAnsi="Times New Roman" w:cs="Times New Roman"/>
          <w:sz w:val="24"/>
          <w:szCs w:val="24"/>
        </w:rPr>
        <w:t>Za rok 2019 bylo pouze 17 nových</w:t>
      </w:r>
      <w:r w:rsidR="00B36D77">
        <w:rPr>
          <w:rFonts w:ascii="Times New Roman" w:hAnsi="Times New Roman" w:cs="Times New Roman"/>
          <w:sz w:val="24"/>
          <w:szCs w:val="24"/>
        </w:rPr>
        <w:t xml:space="preserve"> z</w:t>
      </w:r>
      <w:r>
        <w:rPr>
          <w:rFonts w:ascii="Times New Roman" w:hAnsi="Times New Roman" w:cs="Times New Roman"/>
          <w:sz w:val="24"/>
          <w:szCs w:val="24"/>
        </w:rPr>
        <w:t>ahájení pobytové služby. O proti</w:t>
      </w:r>
      <w:r w:rsidR="00B36D77">
        <w:rPr>
          <w:rFonts w:ascii="Times New Roman" w:hAnsi="Times New Roman" w:cs="Times New Roman"/>
          <w:sz w:val="24"/>
          <w:szCs w:val="24"/>
        </w:rPr>
        <w:t xml:space="preserve"> minulým letům, je to cca 50% pokles.</w:t>
      </w:r>
    </w:p>
    <w:tbl>
      <w:tblPr>
        <w:tblStyle w:val="Mkatabulky"/>
        <w:tblW w:w="0" w:type="auto"/>
        <w:tblLook w:val="04A0" w:firstRow="1" w:lastRow="0" w:firstColumn="1" w:lastColumn="0" w:noHBand="0" w:noVBand="1"/>
      </w:tblPr>
      <w:tblGrid>
        <w:gridCol w:w="4897"/>
        <w:gridCol w:w="4839"/>
      </w:tblGrid>
      <w:tr w:rsidR="00CF4011" w:rsidTr="00943BDC">
        <w:tc>
          <w:tcPr>
            <w:tcW w:w="5228" w:type="dxa"/>
          </w:tcPr>
          <w:p w:rsidR="00CF4011" w:rsidRDefault="00CF4011" w:rsidP="00943BDC">
            <w:pPr>
              <w:rPr>
                <w:rFonts w:ascii="Times New Roman" w:hAnsi="Times New Roman" w:cs="Times New Roman"/>
                <w:sz w:val="24"/>
                <w:szCs w:val="24"/>
              </w:rPr>
            </w:pPr>
            <w:r>
              <w:rPr>
                <w:rFonts w:ascii="Times New Roman" w:hAnsi="Times New Roman" w:cs="Times New Roman"/>
                <w:sz w:val="24"/>
                <w:szCs w:val="24"/>
              </w:rPr>
              <w:t>Zahájení pobytové služby</w:t>
            </w:r>
          </w:p>
        </w:tc>
        <w:tc>
          <w:tcPr>
            <w:tcW w:w="5228" w:type="dxa"/>
          </w:tcPr>
          <w:p w:rsidR="00CF4011" w:rsidRDefault="00CF4011" w:rsidP="00943BDC">
            <w:pPr>
              <w:jc w:val="center"/>
              <w:rPr>
                <w:rFonts w:ascii="Times New Roman" w:hAnsi="Times New Roman" w:cs="Times New Roman"/>
                <w:sz w:val="24"/>
                <w:szCs w:val="24"/>
              </w:rPr>
            </w:pPr>
            <w:r>
              <w:rPr>
                <w:rFonts w:ascii="Times New Roman" w:hAnsi="Times New Roman" w:cs="Times New Roman"/>
                <w:sz w:val="24"/>
                <w:szCs w:val="24"/>
              </w:rPr>
              <w:t>17</w:t>
            </w:r>
          </w:p>
        </w:tc>
      </w:tr>
      <w:tr w:rsidR="00CF4011" w:rsidTr="00943BDC">
        <w:tc>
          <w:tcPr>
            <w:tcW w:w="5228" w:type="dxa"/>
          </w:tcPr>
          <w:p w:rsidR="00CF4011" w:rsidRDefault="00CF4011" w:rsidP="00943BDC">
            <w:pPr>
              <w:rPr>
                <w:rFonts w:ascii="Times New Roman" w:hAnsi="Times New Roman" w:cs="Times New Roman"/>
                <w:sz w:val="24"/>
                <w:szCs w:val="24"/>
              </w:rPr>
            </w:pPr>
            <w:r>
              <w:rPr>
                <w:rFonts w:ascii="Times New Roman" w:hAnsi="Times New Roman" w:cs="Times New Roman"/>
                <w:sz w:val="24"/>
                <w:szCs w:val="24"/>
              </w:rPr>
              <w:t>Zemřelí</w:t>
            </w:r>
          </w:p>
        </w:tc>
        <w:tc>
          <w:tcPr>
            <w:tcW w:w="5228" w:type="dxa"/>
          </w:tcPr>
          <w:p w:rsidR="00CF4011" w:rsidRDefault="00CF4011" w:rsidP="00943BDC">
            <w:pPr>
              <w:jc w:val="center"/>
              <w:rPr>
                <w:rFonts w:ascii="Times New Roman" w:hAnsi="Times New Roman" w:cs="Times New Roman"/>
                <w:sz w:val="24"/>
                <w:szCs w:val="24"/>
              </w:rPr>
            </w:pPr>
            <w:r>
              <w:rPr>
                <w:rFonts w:ascii="Times New Roman" w:hAnsi="Times New Roman" w:cs="Times New Roman"/>
                <w:sz w:val="24"/>
                <w:szCs w:val="24"/>
              </w:rPr>
              <w:t>19</w:t>
            </w:r>
          </w:p>
        </w:tc>
      </w:tr>
      <w:tr w:rsidR="00CF4011" w:rsidTr="00943BDC">
        <w:tc>
          <w:tcPr>
            <w:tcW w:w="5228" w:type="dxa"/>
          </w:tcPr>
          <w:p w:rsidR="00CF4011" w:rsidRDefault="00CF4011" w:rsidP="00943BDC">
            <w:pPr>
              <w:rPr>
                <w:rFonts w:ascii="Times New Roman" w:hAnsi="Times New Roman" w:cs="Times New Roman"/>
                <w:sz w:val="24"/>
                <w:szCs w:val="24"/>
              </w:rPr>
            </w:pPr>
            <w:r>
              <w:rPr>
                <w:rFonts w:ascii="Times New Roman" w:hAnsi="Times New Roman" w:cs="Times New Roman"/>
                <w:sz w:val="24"/>
                <w:szCs w:val="24"/>
              </w:rPr>
              <w:t>Odchod do domácího prostředí</w:t>
            </w:r>
          </w:p>
        </w:tc>
        <w:tc>
          <w:tcPr>
            <w:tcW w:w="5228" w:type="dxa"/>
          </w:tcPr>
          <w:p w:rsidR="00CF4011" w:rsidRDefault="00CF4011" w:rsidP="00943BDC">
            <w:pPr>
              <w:jc w:val="center"/>
              <w:rPr>
                <w:rFonts w:ascii="Times New Roman" w:hAnsi="Times New Roman" w:cs="Times New Roman"/>
                <w:sz w:val="24"/>
                <w:szCs w:val="24"/>
              </w:rPr>
            </w:pPr>
            <w:r>
              <w:rPr>
                <w:rFonts w:ascii="Times New Roman" w:hAnsi="Times New Roman" w:cs="Times New Roman"/>
                <w:sz w:val="24"/>
                <w:szCs w:val="24"/>
              </w:rPr>
              <w:t>0</w:t>
            </w:r>
          </w:p>
        </w:tc>
      </w:tr>
      <w:tr w:rsidR="00CF4011" w:rsidTr="00943BDC">
        <w:tc>
          <w:tcPr>
            <w:tcW w:w="5228" w:type="dxa"/>
          </w:tcPr>
          <w:p w:rsidR="00CF4011" w:rsidRDefault="00CF4011" w:rsidP="00943BDC">
            <w:pPr>
              <w:rPr>
                <w:rFonts w:ascii="Times New Roman" w:hAnsi="Times New Roman" w:cs="Times New Roman"/>
                <w:sz w:val="24"/>
                <w:szCs w:val="24"/>
              </w:rPr>
            </w:pPr>
            <w:r>
              <w:rPr>
                <w:rFonts w:ascii="Times New Roman" w:hAnsi="Times New Roman" w:cs="Times New Roman"/>
                <w:sz w:val="24"/>
                <w:szCs w:val="24"/>
              </w:rPr>
              <w:t>Odchod do jiného zařízení</w:t>
            </w:r>
          </w:p>
        </w:tc>
        <w:tc>
          <w:tcPr>
            <w:tcW w:w="5228" w:type="dxa"/>
          </w:tcPr>
          <w:p w:rsidR="00CF4011" w:rsidRDefault="00CF4011" w:rsidP="00943BDC">
            <w:pPr>
              <w:jc w:val="center"/>
              <w:rPr>
                <w:rFonts w:ascii="Times New Roman" w:hAnsi="Times New Roman" w:cs="Times New Roman"/>
                <w:sz w:val="24"/>
                <w:szCs w:val="24"/>
              </w:rPr>
            </w:pPr>
            <w:r>
              <w:rPr>
                <w:rFonts w:ascii="Times New Roman" w:hAnsi="Times New Roman" w:cs="Times New Roman"/>
                <w:sz w:val="24"/>
                <w:szCs w:val="24"/>
              </w:rPr>
              <w:t>0</w:t>
            </w:r>
          </w:p>
        </w:tc>
      </w:tr>
    </w:tbl>
    <w:p w:rsidR="00CF4011" w:rsidRDefault="00CF4011" w:rsidP="00CF4011">
      <w:pPr>
        <w:tabs>
          <w:tab w:val="left" w:pos="3735"/>
        </w:tabs>
        <w:rPr>
          <w:rFonts w:ascii="Times New Roman" w:hAnsi="Times New Roman" w:cs="Times New Roman"/>
          <w:sz w:val="24"/>
          <w:szCs w:val="24"/>
        </w:rPr>
      </w:pPr>
    </w:p>
    <w:p w:rsidR="00B36D77" w:rsidRPr="00B36D77" w:rsidRDefault="00B36D77" w:rsidP="00CF4011">
      <w:pPr>
        <w:tabs>
          <w:tab w:val="left" w:pos="3735"/>
        </w:tabs>
        <w:rPr>
          <w:rFonts w:ascii="Times New Roman" w:hAnsi="Times New Roman" w:cs="Times New Roman"/>
          <w:b/>
          <w:sz w:val="24"/>
          <w:szCs w:val="24"/>
        </w:rPr>
      </w:pPr>
      <w:r>
        <w:rPr>
          <w:rFonts w:ascii="Times New Roman" w:hAnsi="Times New Roman" w:cs="Times New Roman"/>
          <w:b/>
          <w:sz w:val="24"/>
          <w:szCs w:val="24"/>
        </w:rPr>
        <w:t>Grafické znázornění poklesu zahájení pobytové služby</w:t>
      </w:r>
    </w:p>
    <w:p w:rsidR="004E5428" w:rsidRDefault="00B36D77" w:rsidP="00B36D77">
      <w:pPr>
        <w:tabs>
          <w:tab w:val="left" w:pos="3735"/>
        </w:tabs>
        <w:jc w:val="center"/>
        <w:rPr>
          <w:rFonts w:ascii="Times New Roman" w:hAnsi="Times New Roman" w:cs="Times New Roman"/>
          <w:sz w:val="24"/>
          <w:szCs w:val="24"/>
        </w:rPr>
      </w:pPr>
      <w:r w:rsidRPr="00FE74AE">
        <w:rPr>
          <w:rFonts w:ascii="Times New Roman" w:hAnsi="Times New Roman" w:cs="Times New Roman"/>
          <w:noProof/>
          <w:lang w:eastAsia="cs-CZ"/>
        </w:rPr>
        <w:drawing>
          <wp:inline distT="0" distB="0" distL="0" distR="0" wp14:anchorId="7F914011" wp14:editId="64AC0D5C">
            <wp:extent cx="4572000" cy="2743200"/>
            <wp:effectExtent l="0" t="0" r="0" b="0"/>
            <wp:docPr id="40" name="Graf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E5428" w:rsidRDefault="004E5428" w:rsidP="004E5428">
      <w:pPr>
        <w:rPr>
          <w:rFonts w:ascii="Times New Roman" w:hAnsi="Times New Roman" w:cs="Times New Roman"/>
          <w:sz w:val="24"/>
          <w:szCs w:val="24"/>
        </w:rPr>
      </w:pPr>
    </w:p>
    <w:p w:rsidR="004E5428" w:rsidRPr="004E5428" w:rsidRDefault="004E5428" w:rsidP="004E5428">
      <w:pPr>
        <w:tabs>
          <w:tab w:val="left" w:pos="2010"/>
        </w:tabs>
        <w:rPr>
          <w:rFonts w:ascii="Times New Roman" w:hAnsi="Times New Roman" w:cs="Times New Roman"/>
          <w:sz w:val="24"/>
          <w:szCs w:val="24"/>
        </w:rPr>
      </w:pPr>
      <w:r>
        <w:rPr>
          <w:rFonts w:ascii="Times New Roman" w:hAnsi="Times New Roman" w:cs="Times New Roman"/>
          <w:sz w:val="24"/>
          <w:szCs w:val="24"/>
        </w:rPr>
        <w:tab/>
      </w:r>
    </w:p>
    <w:tbl>
      <w:tblPr>
        <w:tblW w:w="7370" w:type="dxa"/>
        <w:jc w:val="center"/>
        <w:tblCellMar>
          <w:left w:w="70" w:type="dxa"/>
          <w:right w:w="70" w:type="dxa"/>
        </w:tblCellMar>
        <w:tblLook w:val="04A0" w:firstRow="1" w:lastRow="0" w:firstColumn="1" w:lastColumn="0" w:noHBand="0" w:noVBand="1"/>
      </w:tblPr>
      <w:tblGrid>
        <w:gridCol w:w="6093"/>
        <w:gridCol w:w="1277"/>
      </w:tblGrid>
      <w:tr w:rsidR="004E5428" w:rsidRPr="007F26F5" w:rsidTr="00943BDC">
        <w:trPr>
          <w:trHeight w:val="539"/>
          <w:jc w:val="center"/>
        </w:trPr>
        <w:tc>
          <w:tcPr>
            <w:tcW w:w="609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b/>
                <w:bCs/>
                <w:color w:val="000000"/>
                <w:sz w:val="24"/>
                <w:szCs w:val="24"/>
              </w:rPr>
            </w:pPr>
            <w:r w:rsidRPr="007F26F5">
              <w:rPr>
                <w:rFonts w:ascii="Times New Roman" w:eastAsia="Times New Roman" w:hAnsi="Times New Roman" w:cs="Times New Roman"/>
                <w:b/>
                <w:bCs/>
                <w:color w:val="000000"/>
                <w:sz w:val="24"/>
                <w:szCs w:val="24"/>
              </w:rPr>
              <w:t>pobytová služba sociální p</w:t>
            </w:r>
            <w:r>
              <w:rPr>
                <w:rFonts w:ascii="Times New Roman" w:eastAsia="Times New Roman" w:hAnsi="Times New Roman" w:cs="Times New Roman"/>
                <w:b/>
                <w:bCs/>
                <w:color w:val="000000"/>
                <w:sz w:val="24"/>
                <w:szCs w:val="24"/>
              </w:rPr>
              <w:t>éče (stav k 31. 12. 2019</w:t>
            </w:r>
            <w:r w:rsidRPr="007F26F5">
              <w:rPr>
                <w:rFonts w:ascii="Times New Roman" w:eastAsia="Times New Roman" w:hAnsi="Times New Roman" w:cs="Times New Roman"/>
                <w:b/>
                <w:bCs/>
                <w:color w:val="000000"/>
                <w:sz w:val="24"/>
                <w:szCs w:val="24"/>
              </w:rPr>
              <w:t>)</w:t>
            </w:r>
          </w:p>
        </w:tc>
        <w:tc>
          <w:tcPr>
            <w:tcW w:w="1277" w:type="dxa"/>
            <w:tcBorders>
              <w:top w:val="single" w:sz="8" w:space="0" w:color="auto"/>
              <w:left w:val="nil"/>
              <w:bottom w:val="single" w:sz="8" w:space="0" w:color="auto"/>
              <w:right w:val="single" w:sz="8"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b/>
                <w:bCs/>
                <w:color w:val="000000"/>
                <w:sz w:val="24"/>
                <w:szCs w:val="24"/>
              </w:rPr>
            </w:pPr>
            <w:r w:rsidRPr="007F26F5">
              <w:rPr>
                <w:rFonts w:ascii="Times New Roman" w:eastAsia="Times New Roman" w:hAnsi="Times New Roman" w:cs="Times New Roman"/>
                <w:b/>
                <w:bCs/>
                <w:color w:val="000000"/>
                <w:sz w:val="24"/>
                <w:szCs w:val="24"/>
              </w:rPr>
              <w:t>celkem</w:t>
            </w:r>
          </w:p>
        </w:tc>
      </w:tr>
      <w:tr w:rsidR="004E5428" w:rsidRPr="007F26F5" w:rsidTr="00943BDC">
        <w:trPr>
          <w:trHeight w:val="513"/>
          <w:jc w:val="center"/>
        </w:trPr>
        <w:tc>
          <w:tcPr>
            <w:tcW w:w="6093" w:type="dxa"/>
            <w:tcBorders>
              <w:top w:val="nil"/>
              <w:left w:val="single" w:sz="8" w:space="0" w:color="auto"/>
              <w:bottom w:val="single" w:sz="4" w:space="0" w:color="auto"/>
              <w:right w:val="single" w:sz="4"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sidRPr="007F26F5">
              <w:rPr>
                <w:rFonts w:ascii="Times New Roman" w:eastAsia="Times New Roman" w:hAnsi="Times New Roman" w:cs="Times New Roman"/>
                <w:color w:val="000000"/>
                <w:sz w:val="24"/>
                <w:szCs w:val="24"/>
              </w:rPr>
              <w:t>celková kapacita (lůžka)</w:t>
            </w:r>
          </w:p>
        </w:tc>
        <w:tc>
          <w:tcPr>
            <w:tcW w:w="1277" w:type="dxa"/>
            <w:tcBorders>
              <w:top w:val="nil"/>
              <w:left w:val="nil"/>
              <w:bottom w:val="single" w:sz="4" w:space="0" w:color="auto"/>
              <w:right w:val="single" w:sz="8"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sidRPr="007F26F5">
              <w:rPr>
                <w:rFonts w:ascii="Times New Roman" w:eastAsia="Times New Roman" w:hAnsi="Times New Roman" w:cs="Times New Roman"/>
                <w:color w:val="000000"/>
                <w:sz w:val="24"/>
                <w:szCs w:val="24"/>
              </w:rPr>
              <w:t>89</w:t>
            </w:r>
          </w:p>
        </w:tc>
      </w:tr>
      <w:tr w:rsidR="004E5428" w:rsidRPr="007F26F5" w:rsidTr="00943BDC">
        <w:trPr>
          <w:trHeight w:val="513"/>
          <w:jc w:val="center"/>
        </w:trPr>
        <w:tc>
          <w:tcPr>
            <w:tcW w:w="6093" w:type="dxa"/>
            <w:tcBorders>
              <w:top w:val="nil"/>
              <w:left w:val="single" w:sz="8" w:space="0" w:color="auto"/>
              <w:bottom w:val="single" w:sz="4" w:space="0" w:color="auto"/>
              <w:right w:val="single" w:sz="4"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žádosti za rok 2019</w:t>
            </w:r>
          </w:p>
        </w:tc>
        <w:tc>
          <w:tcPr>
            <w:tcW w:w="1277" w:type="dxa"/>
            <w:tcBorders>
              <w:top w:val="nil"/>
              <w:left w:val="nil"/>
              <w:bottom w:val="single" w:sz="4" w:space="0" w:color="auto"/>
              <w:right w:val="single" w:sz="8"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r w:rsidR="004E5428" w:rsidRPr="007F26F5" w:rsidTr="00943BDC">
        <w:trPr>
          <w:trHeight w:val="513"/>
          <w:jc w:val="center"/>
        </w:trPr>
        <w:tc>
          <w:tcPr>
            <w:tcW w:w="6093" w:type="dxa"/>
            <w:tcBorders>
              <w:top w:val="nil"/>
              <w:left w:val="single" w:sz="8" w:space="0" w:color="auto"/>
              <w:bottom w:val="single" w:sz="4" w:space="0" w:color="auto"/>
              <w:right w:val="single" w:sz="4" w:space="0" w:color="auto"/>
            </w:tcBorders>
            <w:shd w:val="clear" w:color="auto" w:fill="auto"/>
            <w:noWrap/>
            <w:vAlign w:val="bottom"/>
            <w:hideMark/>
          </w:tcPr>
          <w:p w:rsidR="004E5428" w:rsidRPr="007F26F5" w:rsidRDefault="00AC3460"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celkový počet žádostí</w:t>
            </w:r>
          </w:p>
        </w:tc>
        <w:tc>
          <w:tcPr>
            <w:tcW w:w="1277" w:type="dxa"/>
            <w:tcBorders>
              <w:top w:val="nil"/>
              <w:left w:val="nil"/>
              <w:bottom w:val="single" w:sz="4" w:space="0" w:color="auto"/>
              <w:right w:val="single" w:sz="8" w:space="0" w:color="auto"/>
            </w:tcBorders>
            <w:shd w:val="clear" w:color="auto" w:fill="auto"/>
            <w:noWrap/>
            <w:vAlign w:val="bottom"/>
            <w:hideMark/>
          </w:tcPr>
          <w:p w:rsidR="004E5428" w:rsidRPr="007F26F5" w:rsidRDefault="00AC3460"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384</w:t>
            </w:r>
          </w:p>
        </w:tc>
      </w:tr>
      <w:tr w:rsidR="00AC3460" w:rsidRPr="007F26F5" w:rsidTr="00943BDC">
        <w:trPr>
          <w:trHeight w:val="513"/>
          <w:jc w:val="center"/>
        </w:trPr>
        <w:tc>
          <w:tcPr>
            <w:tcW w:w="6093" w:type="dxa"/>
            <w:tcBorders>
              <w:top w:val="nil"/>
              <w:left w:val="single" w:sz="8" w:space="0" w:color="auto"/>
              <w:bottom w:val="single" w:sz="4" w:space="0" w:color="auto"/>
              <w:right w:val="single" w:sz="4" w:space="0" w:color="auto"/>
            </w:tcBorders>
            <w:shd w:val="clear" w:color="auto" w:fill="auto"/>
            <w:noWrap/>
            <w:vAlign w:val="bottom"/>
          </w:tcPr>
          <w:p w:rsidR="00AC3460" w:rsidRPr="007F26F5" w:rsidRDefault="00AC3460" w:rsidP="00943BDC">
            <w:pPr>
              <w:jc w:val="center"/>
              <w:rPr>
                <w:rFonts w:ascii="Times New Roman" w:eastAsia="Times New Roman" w:hAnsi="Times New Roman" w:cs="Times New Roman"/>
                <w:color w:val="000000"/>
                <w:sz w:val="24"/>
                <w:szCs w:val="24"/>
              </w:rPr>
            </w:pPr>
            <w:r w:rsidRPr="007F26F5">
              <w:rPr>
                <w:rFonts w:ascii="Times New Roman" w:eastAsia="Times New Roman" w:hAnsi="Times New Roman" w:cs="Times New Roman"/>
                <w:color w:val="000000"/>
                <w:sz w:val="24"/>
                <w:szCs w:val="24"/>
              </w:rPr>
              <w:t>průměrný věk uživatelů</w:t>
            </w:r>
          </w:p>
        </w:tc>
        <w:tc>
          <w:tcPr>
            <w:tcW w:w="1277" w:type="dxa"/>
            <w:tcBorders>
              <w:top w:val="nil"/>
              <w:left w:val="nil"/>
              <w:bottom w:val="single" w:sz="4" w:space="0" w:color="auto"/>
              <w:right w:val="single" w:sz="8" w:space="0" w:color="auto"/>
            </w:tcBorders>
            <w:shd w:val="clear" w:color="auto" w:fill="auto"/>
            <w:noWrap/>
            <w:vAlign w:val="bottom"/>
          </w:tcPr>
          <w:p w:rsidR="00AC3460" w:rsidRDefault="00AC3460"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84,8</w:t>
            </w:r>
          </w:p>
        </w:tc>
      </w:tr>
      <w:tr w:rsidR="004E5428" w:rsidRPr="007F26F5" w:rsidTr="00943BDC">
        <w:trPr>
          <w:trHeight w:val="513"/>
          <w:jc w:val="center"/>
        </w:trPr>
        <w:tc>
          <w:tcPr>
            <w:tcW w:w="6093" w:type="dxa"/>
            <w:tcBorders>
              <w:top w:val="nil"/>
              <w:left w:val="single" w:sz="8" w:space="0" w:color="auto"/>
              <w:bottom w:val="single" w:sz="4" w:space="0" w:color="auto"/>
              <w:right w:val="single" w:sz="4"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sidRPr="007F26F5">
              <w:rPr>
                <w:rFonts w:ascii="Times New Roman" w:eastAsia="Times New Roman" w:hAnsi="Times New Roman" w:cs="Times New Roman"/>
                <w:color w:val="000000"/>
                <w:sz w:val="24"/>
                <w:szCs w:val="24"/>
              </w:rPr>
              <w:t xml:space="preserve">žadatelé, kteří </w:t>
            </w:r>
            <w:r>
              <w:rPr>
                <w:rFonts w:ascii="Times New Roman" w:eastAsia="Times New Roman" w:hAnsi="Times New Roman" w:cs="Times New Roman"/>
                <w:color w:val="000000"/>
                <w:sz w:val="24"/>
                <w:szCs w:val="24"/>
              </w:rPr>
              <w:t>zahájili poskytování služby</w:t>
            </w:r>
          </w:p>
        </w:tc>
        <w:tc>
          <w:tcPr>
            <w:tcW w:w="1277" w:type="dxa"/>
            <w:tcBorders>
              <w:top w:val="nil"/>
              <w:left w:val="nil"/>
              <w:bottom w:val="single" w:sz="4" w:space="0" w:color="auto"/>
              <w:right w:val="single" w:sz="8"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4E5428" w:rsidRPr="007F26F5" w:rsidTr="00943BDC">
        <w:trPr>
          <w:trHeight w:val="513"/>
          <w:jc w:val="center"/>
        </w:trPr>
        <w:tc>
          <w:tcPr>
            <w:tcW w:w="6093" w:type="dxa"/>
            <w:tcBorders>
              <w:top w:val="nil"/>
              <w:left w:val="single" w:sz="8" w:space="0" w:color="auto"/>
              <w:bottom w:val="single" w:sz="4" w:space="0" w:color="auto"/>
              <w:right w:val="single" w:sz="4"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sidRPr="007F26F5">
              <w:rPr>
                <w:rFonts w:ascii="Times New Roman" w:eastAsia="Times New Roman" w:hAnsi="Times New Roman" w:cs="Times New Roman"/>
                <w:color w:val="000000"/>
                <w:sz w:val="24"/>
                <w:szCs w:val="24"/>
              </w:rPr>
              <w:t>ukončení služby - úmrtí</w:t>
            </w:r>
          </w:p>
        </w:tc>
        <w:tc>
          <w:tcPr>
            <w:tcW w:w="1277" w:type="dxa"/>
            <w:tcBorders>
              <w:top w:val="nil"/>
              <w:left w:val="nil"/>
              <w:bottom w:val="single" w:sz="4" w:space="0" w:color="auto"/>
              <w:right w:val="single" w:sz="8"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4E5428" w:rsidRPr="007F26F5" w:rsidTr="00943BDC">
        <w:trPr>
          <w:trHeight w:val="513"/>
          <w:jc w:val="center"/>
        </w:trPr>
        <w:tc>
          <w:tcPr>
            <w:tcW w:w="6093" w:type="dxa"/>
            <w:tcBorders>
              <w:top w:val="nil"/>
              <w:left w:val="single" w:sz="8" w:space="0" w:color="auto"/>
              <w:bottom w:val="single" w:sz="4" w:space="0" w:color="auto"/>
              <w:right w:val="single" w:sz="4" w:space="0" w:color="auto"/>
            </w:tcBorders>
            <w:shd w:val="clear" w:color="auto" w:fill="auto"/>
            <w:noWrap/>
            <w:vAlign w:val="bottom"/>
          </w:tcPr>
          <w:p w:rsidR="004E5428" w:rsidRPr="007F26F5" w:rsidRDefault="004E5428"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ukončení služby – odhod do domácí prostředí</w:t>
            </w:r>
          </w:p>
        </w:tc>
        <w:tc>
          <w:tcPr>
            <w:tcW w:w="1277" w:type="dxa"/>
            <w:tcBorders>
              <w:top w:val="nil"/>
              <w:left w:val="nil"/>
              <w:bottom w:val="single" w:sz="4" w:space="0" w:color="auto"/>
              <w:right w:val="single" w:sz="8" w:space="0" w:color="auto"/>
            </w:tcBorders>
            <w:shd w:val="clear" w:color="auto" w:fill="auto"/>
            <w:noWrap/>
            <w:vAlign w:val="bottom"/>
          </w:tcPr>
          <w:p w:rsidR="004E5428" w:rsidRDefault="004E5428"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E5428" w:rsidRPr="007F26F5" w:rsidTr="00943BDC">
        <w:trPr>
          <w:trHeight w:val="509"/>
          <w:jc w:val="center"/>
        </w:trPr>
        <w:tc>
          <w:tcPr>
            <w:tcW w:w="6093" w:type="dxa"/>
            <w:tcBorders>
              <w:top w:val="nil"/>
              <w:left w:val="single" w:sz="8" w:space="0" w:color="auto"/>
              <w:bottom w:val="single" w:sz="8" w:space="0" w:color="auto"/>
              <w:right w:val="single" w:sz="4"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sidRPr="007F26F5">
              <w:rPr>
                <w:rFonts w:ascii="Times New Roman" w:eastAsia="Times New Roman" w:hAnsi="Times New Roman" w:cs="Times New Roman"/>
                <w:color w:val="000000"/>
                <w:sz w:val="24"/>
                <w:szCs w:val="24"/>
              </w:rPr>
              <w:t xml:space="preserve">průměrná </w:t>
            </w:r>
            <w:proofErr w:type="spellStart"/>
            <w:r w:rsidRPr="007F26F5">
              <w:rPr>
                <w:rFonts w:ascii="Times New Roman" w:eastAsia="Times New Roman" w:hAnsi="Times New Roman" w:cs="Times New Roman"/>
                <w:color w:val="000000"/>
                <w:sz w:val="24"/>
                <w:szCs w:val="24"/>
              </w:rPr>
              <w:t>obložnost</w:t>
            </w:r>
            <w:proofErr w:type="spellEnd"/>
            <w:r w:rsidRPr="007F26F5">
              <w:rPr>
                <w:rFonts w:ascii="Times New Roman" w:eastAsia="Times New Roman" w:hAnsi="Times New Roman" w:cs="Times New Roman"/>
                <w:color w:val="000000"/>
                <w:sz w:val="24"/>
                <w:szCs w:val="24"/>
              </w:rPr>
              <w:t xml:space="preserve"> lůžek</w:t>
            </w:r>
          </w:p>
        </w:tc>
        <w:tc>
          <w:tcPr>
            <w:tcW w:w="1277" w:type="dxa"/>
            <w:tcBorders>
              <w:top w:val="nil"/>
              <w:left w:val="nil"/>
              <w:bottom w:val="single" w:sz="8" w:space="0" w:color="auto"/>
              <w:right w:val="single" w:sz="8" w:space="0" w:color="auto"/>
            </w:tcBorders>
            <w:shd w:val="clear" w:color="auto" w:fill="auto"/>
            <w:noWrap/>
            <w:vAlign w:val="bottom"/>
            <w:hideMark/>
          </w:tcPr>
          <w:p w:rsidR="004E5428" w:rsidRPr="007F26F5" w:rsidRDefault="004E5428" w:rsidP="00943BDC">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99,68%</w:t>
            </w:r>
          </w:p>
        </w:tc>
      </w:tr>
    </w:tbl>
    <w:p w:rsidR="004E5428" w:rsidRDefault="004E5428" w:rsidP="004E5428">
      <w:pPr>
        <w:tabs>
          <w:tab w:val="left" w:pos="2010"/>
        </w:tabs>
        <w:rPr>
          <w:rFonts w:ascii="Times New Roman" w:hAnsi="Times New Roman" w:cs="Times New Roman"/>
          <w:sz w:val="24"/>
          <w:szCs w:val="24"/>
        </w:rPr>
      </w:pPr>
    </w:p>
    <w:p w:rsidR="00141840" w:rsidRDefault="00141840" w:rsidP="004E5428">
      <w:pPr>
        <w:tabs>
          <w:tab w:val="left" w:pos="2010"/>
        </w:tabs>
        <w:rPr>
          <w:rFonts w:ascii="Times New Roman" w:hAnsi="Times New Roman" w:cs="Times New Roman"/>
          <w:sz w:val="24"/>
          <w:szCs w:val="24"/>
        </w:rPr>
      </w:pPr>
      <w:r>
        <w:rPr>
          <w:rFonts w:ascii="Times New Roman" w:hAnsi="Times New Roman" w:cs="Times New Roman"/>
          <w:sz w:val="24"/>
          <w:szCs w:val="24"/>
        </w:rPr>
        <w:lastRenderedPageBreak/>
        <w:t>Obsazenost lůžek v jednotlivých měsících v %</w:t>
      </w:r>
    </w:p>
    <w:p w:rsidR="00141840" w:rsidRDefault="00141840" w:rsidP="004E5428">
      <w:pPr>
        <w:tabs>
          <w:tab w:val="left" w:pos="2010"/>
        </w:tabs>
        <w:rPr>
          <w:rFonts w:ascii="Times New Roman" w:hAnsi="Times New Roman" w:cs="Times New Roman"/>
          <w:sz w:val="24"/>
          <w:szCs w:val="24"/>
        </w:rPr>
      </w:pPr>
      <w:r>
        <w:rPr>
          <w:noProof/>
          <w:lang w:eastAsia="cs-CZ"/>
        </w:rPr>
        <w:drawing>
          <wp:inline distT="0" distB="0" distL="0" distR="0" wp14:anchorId="46A9F667" wp14:editId="7808574C">
            <wp:extent cx="6188710" cy="2366645"/>
            <wp:effectExtent l="0" t="0" r="2540" b="14605"/>
            <wp:docPr id="41" name="Graf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41840" w:rsidRDefault="00141840" w:rsidP="00141840">
      <w:pPr>
        <w:rPr>
          <w:rFonts w:ascii="Times New Roman" w:hAnsi="Times New Roman" w:cs="Times New Roman"/>
          <w:sz w:val="24"/>
          <w:szCs w:val="24"/>
        </w:rPr>
      </w:pPr>
    </w:p>
    <w:p w:rsidR="003901D4" w:rsidRDefault="003901D4" w:rsidP="00141840">
      <w:pPr>
        <w:rPr>
          <w:rFonts w:ascii="Times New Roman" w:hAnsi="Times New Roman" w:cs="Times New Roman"/>
          <w:sz w:val="24"/>
          <w:szCs w:val="24"/>
        </w:rPr>
      </w:pPr>
      <w:r>
        <w:rPr>
          <w:rFonts w:ascii="Times New Roman" w:hAnsi="Times New Roman" w:cs="Times New Roman"/>
          <w:sz w:val="24"/>
          <w:szCs w:val="24"/>
        </w:rPr>
        <w:t xml:space="preserve">Na základě doporučení od auditorů jsme přestali o března 2019 přijímat „preventivní žádost“. I přes to </w:t>
      </w:r>
      <w:r w:rsidR="00F1755E">
        <w:rPr>
          <w:rFonts w:ascii="Times New Roman" w:hAnsi="Times New Roman" w:cs="Times New Roman"/>
          <w:sz w:val="24"/>
          <w:szCs w:val="24"/>
        </w:rPr>
        <w:t>se celkový počet přijatých žádostí vyšplhal na 100 ks.</w:t>
      </w:r>
    </w:p>
    <w:p w:rsidR="003901D4" w:rsidRDefault="003901D4" w:rsidP="00141840">
      <w:pPr>
        <w:rPr>
          <w:rFonts w:ascii="Times New Roman" w:hAnsi="Times New Roman" w:cs="Times New Roman"/>
          <w:sz w:val="24"/>
          <w:szCs w:val="24"/>
        </w:rPr>
      </w:pPr>
    </w:p>
    <w:p w:rsidR="003901D4" w:rsidRDefault="003901D4" w:rsidP="00141840">
      <w:pPr>
        <w:rPr>
          <w:rFonts w:ascii="Times New Roman" w:hAnsi="Times New Roman" w:cs="Times New Roman"/>
          <w:sz w:val="24"/>
          <w:szCs w:val="24"/>
        </w:rPr>
      </w:pPr>
      <w:r>
        <w:rPr>
          <w:rFonts w:ascii="Times New Roman" w:hAnsi="Times New Roman" w:cs="Times New Roman"/>
          <w:sz w:val="24"/>
          <w:szCs w:val="24"/>
        </w:rPr>
        <w:t xml:space="preserve">Přehled počtu přijatých žádostí v letech </w:t>
      </w:r>
      <w:r w:rsidR="000A4EB1">
        <w:rPr>
          <w:rFonts w:ascii="Times New Roman" w:hAnsi="Times New Roman" w:cs="Times New Roman"/>
          <w:sz w:val="24"/>
          <w:szCs w:val="24"/>
        </w:rPr>
        <w:t>2015</w:t>
      </w:r>
      <w:r>
        <w:rPr>
          <w:rFonts w:ascii="Times New Roman" w:hAnsi="Times New Roman" w:cs="Times New Roman"/>
          <w:sz w:val="24"/>
          <w:szCs w:val="24"/>
        </w:rPr>
        <w:t xml:space="preserve"> – 2019</w:t>
      </w:r>
    </w:p>
    <w:tbl>
      <w:tblPr>
        <w:tblStyle w:val="Mkatabulky"/>
        <w:tblW w:w="0" w:type="auto"/>
        <w:tblLook w:val="04A0" w:firstRow="1" w:lastRow="0" w:firstColumn="1" w:lastColumn="0" w:noHBand="0" w:noVBand="1"/>
      </w:tblPr>
      <w:tblGrid>
        <w:gridCol w:w="4868"/>
        <w:gridCol w:w="4868"/>
      </w:tblGrid>
      <w:tr w:rsidR="000A4EB1" w:rsidTr="003901D4">
        <w:tc>
          <w:tcPr>
            <w:tcW w:w="4868" w:type="dxa"/>
          </w:tcPr>
          <w:p w:rsidR="000A4EB1" w:rsidRDefault="000A4EB1" w:rsidP="00141840">
            <w:pPr>
              <w:rPr>
                <w:rFonts w:ascii="Times New Roman" w:hAnsi="Times New Roman" w:cs="Times New Roman"/>
                <w:sz w:val="24"/>
                <w:szCs w:val="24"/>
              </w:rPr>
            </w:pPr>
            <w:r>
              <w:rPr>
                <w:rFonts w:ascii="Times New Roman" w:hAnsi="Times New Roman" w:cs="Times New Roman"/>
                <w:sz w:val="24"/>
                <w:szCs w:val="24"/>
              </w:rPr>
              <w:t>2015</w:t>
            </w:r>
          </w:p>
        </w:tc>
        <w:tc>
          <w:tcPr>
            <w:tcW w:w="4868" w:type="dxa"/>
          </w:tcPr>
          <w:p w:rsidR="000A4EB1" w:rsidRDefault="000A4EB1" w:rsidP="003901D4">
            <w:pPr>
              <w:jc w:val="right"/>
              <w:rPr>
                <w:rFonts w:ascii="Times New Roman" w:hAnsi="Times New Roman" w:cs="Times New Roman"/>
                <w:sz w:val="24"/>
                <w:szCs w:val="24"/>
              </w:rPr>
            </w:pPr>
            <w:r>
              <w:rPr>
                <w:rFonts w:ascii="Times New Roman" w:hAnsi="Times New Roman" w:cs="Times New Roman"/>
                <w:sz w:val="24"/>
                <w:szCs w:val="24"/>
              </w:rPr>
              <w:t>90</w:t>
            </w:r>
          </w:p>
        </w:tc>
      </w:tr>
      <w:tr w:rsidR="000A4EB1" w:rsidTr="003901D4">
        <w:tc>
          <w:tcPr>
            <w:tcW w:w="4868" w:type="dxa"/>
          </w:tcPr>
          <w:p w:rsidR="000A4EB1" w:rsidRDefault="000A4EB1" w:rsidP="00141840">
            <w:pPr>
              <w:rPr>
                <w:rFonts w:ascii="Times New Roman" w:hAnsi="Times New Roman" w:cs="Times New Roman"/>
                <w:sz w:val="24"/>
                <w:szCs w:val="24"/>
              </w:rPr>
            </w:pPr>
            <w:r>
              <w:rPr>
                <w:rFonts w:ascii="Times New Roman" w:hAnsi="Times New Roman" w:cs="Times New Roman"/>
                <w:sz w:val="24"/>
                <w:szCs w:val="24"/>
              </w:rPr>
              <w:t>2016</w:t>
            </w:r>
          </w:p>
        </w:tc>
        <w:tc>
          <w:tcPr>
            <w:tcW w:w="4868" w:type="dxa"/>
          </w:tcPr>
          <w:p w:rsidR="000A4EB1" w:rsidRDefault="000A4EB1" w:rsidP="003901D4">
            <w:pPr>
              <w:jc w:val="right"/>
              <w:rPr>
                <w:rFonts w:ascii="Times New Roman" w:hAnsi="Times New Roman" w:cs="Times New Roman"/>
                <w:sz w:val="24"/>
                <w:szCs w:val="24"/>
              </w:rPr>
            </w:pPr>
            <w:r>
              <w:rPr>
                <w:rFonts w:ascii="Times New Roman" w:hAnsi="Times New Roman" w:cs="Times New Roman"/>
                <w:sz w:val="24"/>
                <w:szCs w:val="24"/>
              </w:rPr>
              <w:t>87</w:t>
            </w:r>
          </w:p>
        </w:tc>
      </w:tr>
      <w:tr w:rsidR="003901D4" w:rsidTr="003901D4">
        <w:tc>
          <w:tcPr>
            <w:tcW w:w="4868" w:type="dxa"/>
          </w:tcPr>
          <w:p w:rsidR="003901D4" w:rsidRDefault="003901D4" w:rsidP="00141840">
            <w:pPr>
              <w:rPr>
                <w:rFonts w:ascii="Times New Roman" w:hAnsi="Times New Roman" w:cs="Times New Roman"/>
                <w:sz w:val="24"/>
                <w:szCs w:val="24"/>
              </w:rPr>
            </w:pPr>
            <w:r>
              <w:rPr>
                <w:rFonts w:ascii="Times New Roman" w:hAnsi="Times New Roman" w:cs="Times New Roman"/>
                <w:sz w:val="24"/>
                <w:szCs w:val="24"/>
              </w:rPr>
              <w:t>2017</w:t>
            </w:r>
          </w:p>
        </w:tc>
        <w:tc>
          <w:tcPr>
            <w:tcW w:w="4868" w:type="dxa"/>
          </w:tcPr>
          <w:p w:rsidR="003901D4" w:rsidRDefault="003901D4" w:rsidP="003901D4">
            <w:pPr>
              <w:jc w:val="right"/>
              <w:rPr>
                <w:rFonts w:ascii="Times New Roman" w:hAnsi="Times New Roman" w:cs="Times New Roman"/>
                <w:sz w:val="24"/>
                <w:szCs w:val="24"/>
              </w:rPr>
            </w:pPr>
            <w:r>
              <w:rPr>
                <w:rFonts w:ascii="Times New Roman" w:hAnsi="Times New Roman" w:cs="Times New Roman"/>
                <w:sz w:val="24"/>
                <w:szCs w:val="24"/>
              </w:rPr>
              <w:t>94</w:t>
            </w:r>
          </w:p>
        </w:tc>
      </w:tr>
      <w:tr w:rsidR="003901D4" w:rsidTr="003901D4">
        <w:tc>
          <w:tcPr>
            <w:tcW w:w="4868" w:type="dxa"/>
          </w:tcPr>
          <w:p w:rsidR="003901D4" w:rsidRDefault="003901D4" w:rsidP="00141840">
            <w:pPr>
              <w:rPr>
                <w:rFonts w:ascii="Times New Roman" w:hAnsi="Times New Roman" w:cs="Times New Roman"/>
                <w:sz w:val="24"/>
                <w:szCs w:val="24"/>
              </w:rPr>
            </w:pPr>
            <w:r>
              <w:rPr>
                <w:rFonts w:ascii="Times New Roman" w:hAnsi="Times New Roman" w:cs="Times New Roman"/>
                <w:sz w:val="24"/>
                <w:szCs w:val="24"/>
              </w:rPr>
              <w:t>2018</w:t>
            </w:r>
          </w:p>
        </w:tc>
        <w:tc>
          <w:tcPr>
            <w:tcW w:w="4868" w:type="dxa"/>
          </w:tcPr>
          <w:p w:rsidR="003901D4" w:rsidRDefault="003901D4" w:rsidP="003901D4">
            <w:pPr>
              <w:jc w:val="right"/>
              <w:rPr>
                <w:rFonts w:ascii="Times New Roman" w:hAnsi="Times New Roman" w:cs="Times New Roman"/>
                <w:sz w:val="24"/>
                <w:szCs w:val="24"/>
              </w:rPr>
            </w:pPr>
            <w:r>
              <w:rPr>
                <w:rFonts w:ascii="Times New Roman" w:hAnsi="Times New Roman" w:cs="Times New Roman"/>
                <w:sz w:val="24"/>
                <w:szCs w:val="24"/>
              </w:rPr>
              <w:t>107</w:t>
            </w:r>
          </w:p>
        </w:tc>
      </w:tr>
      <w:tr w:rsidR="003901D4" w:rsidTr="003901D4">
        <w:tc>
          <w:tcPr>
            <w:tcW w:w="4868" w:type="dxa"/>
          </w:tcPr>
          <w:p w:rsidR="003901D4" w:rsidRDefault="003901D4" w:rsidP="00141840">
            <w:pPr>
              <w:rPr>
                <w:rFonts w:ascii="Times New Roman" w:hAnsi="Times New Roman" w:cs="Times New Roman"/>
                <w:sz w:val="24"/>
                <w:szCs w:val="24"/>
              </w:rPr>
            </w:pPr>
            <w:r>
              <w:rPr>
                <w:rFonts w:ascii="Times New Roman" w:hAnsi="Times New Roman" w:cs="Times New Roman"/>
                <w:sz w:val="24"/>
                <w:szCs w:val="24"/>
              </w:rPr>
              <w:t>2019</w:t>
            </w:r>
          </w:p>
        </w:tc>
        <w:tc>
          <w:tcPr>
            <w:tcW w:w="4868" w:type="dxa"/>
          </w:tcPr>
          <w:p w:rsidR="003901D4" w:rsidRDefault="003901D4" w:rsidP="003901D4">
            <w:pPr>
              <w:jc w:val="right"/>
              <w:rPr>
                <w:rFonts w:ascii="Times New Roman" w:hAnsi="Times New Roman" w:cs="Times New Roman"/>
                <w:sz w:val="24"/>
                <w:szCs w:val="24"/>
              </w:rPr>
            </w:pPr>
            <w:r>
              <w:rPr>
                <w:rFonts w:ascii="Times New Roman" w:hAnsi="Times New Roman" w:cs="Times New Roman"/>
                <w:sz w:val="24"/>
                <w:szCs w:val="24"/>
              </w:rPr>
              <w:t>100</w:t>
            </w:r>
          </w:p>
        </w:tc>
      </w:tr>
    </w:tbl>
    <w:p w:rsidR="003901D4" w:rsidRDefault="003901D4" w:rsidP="00141840">
      <w:pPr>
        <w:rPr>
          <w:rFonts w:ascii="Times New Roman" w:hAnsi="Times New Roman" w:cs="Times New Roman"/>
          <w:sz w:val="24"/>
          <w:szCs w:val="24"/>
        </w:rPr>
      </w:pPr>
    </w:p>
    <w:p w:rsidR="000B2F12" w:rsidRDefault="000B2F12" w:rsidP="00141840">
      <w:pPr>
        <w:rPr>
          <w:rFonts w:ascii="Times New Roman" w:hAnsi="Times New Roman" w:cs="Times New Roman"/>
          <w:sz w:val="24"/>
          <w:szCs w:val="24"/>
        </w:rPr>
      </w:pPr>
    </w:p>
    <w:p w:rsidR="004E5428" w:rsidRDefault="000A4EB1" w:rsidP="000A4EB1">
      <w:pPr>
        <w:tabs>
          <w:tab w:val="left" w:pos="960"/>
        </w:tabs>
        <w:jc w:val="center"/>
        <w:rPr>
          <w:rFonts w:ascii="Times New Roman" w:hAnsi="Times New Roman" w:cs="Times New Roman"/>
          <w:sz w:val="24"/>
          <w:szCs w:val="24"/>
        </w:rPr>
      </w:pPr>
      <w:r w:rsidRPr="00FE74AE">
        <w:rPr>
          <w:rFonts w:ascii="Times New Roman" w:hAnsi="Times New Roman" w:cs="Times New Roman"/>
          <w:noProof/>
          <w:color w:val="FF0000"/>
          <w:lang w:eastAsia="cs-CZ"/>
        </w:rPr>
        <w:drawing>
          <wp:inline distT="0" distB="0" distL="0" distR="0" wp14:anchorId="6148C654" wp14:editId="11F30798">
            <wp:extent cx="5162550" cy="2571750"/>
            <wp:effectExtent l="0" t="0" r="0" b="0"/>
            <wp:docPr id="43" name="Graf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F1755E" w:rsidRDefault="00F1755E" w:rsidP="00F1755E">
      <w:pPr>
        <w:tabs>
          <w:tab w:val="left" w:pos="960"/>
        </w:tabs>
        <w:rPr>
          <w:rFonts w:ascii="Times New Roman" w:hAnsi="Times New Roman" w:cs="Times New Roman"/>
          <w:sz w:val="24"/>
          <w:szCs w:val="24"/>
        </w:rPr>
      </w:pPr>
    </w:p>
    <w:p w:rsidR="00990877" w:rsidRDefault="00990877" w:rsidP="00990877">
      <w:pPr>
        <w:tabs>
          <w:tab w:val="left" w:pos="960"/>
        </w:tabs>
        <w:jc w:val="center"/>
        <w:rPr>
          <w:rFonts w:ascii="Times New Roman" w:hAnsi="Times New Roman" w:cs="Times New Roman"/>
          <w:b/>
          <w:sz w:val="40"/>
          <w:szCs w:val="40"/>
        </w:rPr>
      </w:pPr>
      <w:r w:rsidRPr="00990877">
        <w:rPr>
          <w:rFonts w:ascii="Times New Roman" w:hAnsi="Times New Roman" w:cs="Times New Roman"/>
          <w:b/>
          <w:sz w:val="40"/>
          <w:szCs w:val="40"/>
        </w:rPr>
        <w:lastRenderedPageBreak/>
        <w:t>PEČOVATELSKÁ SLUŽBA</w:t>
      </w:r>
    </w:p>
    <w:p w:rsidR="00B12683" w:rsidRPr="00990877" w:rsidRDefault="00B12683" w:rsidP="00990877">
      <w:pPr>
        <w:tabs>
          <w:tab w:val="left" w:pos="960"/>
        </w:tabs>
        <w:jc w:val="center"/>
        <w:rPr>
          <w:rFonts w:ascii="Times New Roman" w:hAnsi="Times New Roman" w:cs="Times New Roman"/>
          <w:b/>
          <w:sz w:val="40"/>
          <w:szCs w:val="40"/>
        </w:rPr>
      </w:pPr>
    </w:p>
    <w:p w:rsidR="000A334E" w:rsidRPr="0045014E" w:rsidRDefault="000A334E" w:rsidP="000A334E">
      <w:pPr>
        <w:rPr>
          <w:rFonts w:ascii="Times New Roman" w:hAnsi="Times New Roman" w:cs="Times New Roman"/>
          <w:b/>
          <w:bCs/>
          <w:i/>
          <w:iCs/>
          <w:sz w:val="24"/>
          <w:szCs w:val="24"/>
          <w:u w:val="single"/>
        </w:rPr>
      </w:pPr>
      <w:r w:rsidRPr="0045014E">
        <w:rPr>
          <w:rFonts w:ascii="Times New Roman" w:hAnsi="Times New Roman" w:cs="Times New Roman"/>
          <w:b/>
          <w:bCs/>
          <w:i/>
          <w:iCs/>
          <w:sz w:val="24"/>
          <w:szCs w:val="24"/>
          <w:u w:val="single"/>
        </w:rPr>
        <w:t>PEČOVATELSKÁ SLUŽBA</w:t>
      </w:r>
    </w:p>
    <w:p w:rsidR="000A334E" w:rsidRPr="0045014E" w:rsidRDefault="000A334E" w:rsidP="000A334E">
      <w:pPr>
        <w:rPr>
          <w:rFonts w:ascii="Times New Roman" w:hAnsi="Times New Roman" w:cs="Times New Roman"/>
          <w:b/>
          <w:bCs/>
          <w:i/>
          <w:iCs/>
          <w:sz w:val="2"/>
          <w:szCs w:val="2"/>
          <w:u w:val="single"/>
        </w:rPr>
      </w:pP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 xml:space="preserve">Pečovatelská služba pokračuje ve svém rozvoji. V roce 2019 jsme evidovali více žádostí o poskytnutí pečovatelské služby, než jsme byli z hlediska kapacity schopni poskytovat. V personální oblasti se až do října nepodařilo volné místo vedoucí pracovnice obsadit, proto jsme pro zajištění plynulosti služby museli v průběhu roku přistoupit k uzavření jedné dohody o provedení práce a dohody o pracovní činnosti. </w:t>
      </w: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 xml:space="preserve">V rámci poskytování služeb jsme za celý rok třemi služebními vozy najeli celkem 29 775 km. V únoru byl starší vůz Citroen </w:t>
      </w:r>
      <w:proofErr w:type="spellStart"/>
      <w:r w:rsidRPr="0045014E">
        <w:rPr>
          <w:rFonts w:ascii="Times New Roman" w:hAnsi="Times New Roman" w:cs="Times New Roman"/>
          <w:sz w:val="24"/>
          <w:szCs w:val="24"/>
        </w:rPr>
        <w:t>Berlingo</w:t>
      </w:r>
      <w:proofErr w:type="spellEnd"/>
      <w:r w:rsidRPr="0045014E">
        <w:rPr>
          <w:rFonts w:ascii="Times New Roman" w:hAnsi="Times New Roman" w:cs="Times New Roman"/>
          <w:sz w:val="24"/>
          <w:szCs w:val="24"/>
        </w:rPr>
        <w:t xml:space="preserve"> vyměněn za nové auto Dacia </w:t>
      </w:r>
      <w:proofErr w:type="spellStart"/>
      <w:r w:rsidRPr="0045014E">
        <w:rPr>
          <w:rFonts w:ascii="Times New Roman" w:hAnsi="Times New Roman" w:cs="Times New Roman"/>
          <w:sz w:val="24"/>
          <w:szCs w:val="24"/>
        </w:rPr>
        <w:t>Dokker</w:t>
      </w:r>
      <w:proofErr w:type="spellEnd"/>
      <w:r w:rsidRPr="0045014E">
        <w:rPr>
          <w:rFonts w:ascii="Times New Roman" w:hAnsi="Times New Roman" w:cs="Times New Roman"/>
          <w:sz w:val="24"/>
          <w:szCs w:val="24"/>
        </w:rPr>
        <w:t>.</w:t>
      </w: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Vzhledem k tomu, že od roku 2016, mimo drobného navyšování stravného, nedocházelo ke změnám sazebníku, jsme po odborné konzultaci s pracovníky sociálního odboru Krajského úřadu Jihočeského kraje aktualizovali sazebník k 1. 8. 2019 dle nejnovějších požadavků. Některé nevyužívané fakultativní úkony byly odstraněny a také došlo k navýšení úhrad.</w:t>
      </w: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 xml:space="preserve">V rámci vzdělávání zaměstnanců jsme absolvovali zajímavý seminář „Hospic a jeho místo v dnešním světě“. Seminář se konal přímo v Domácím hospici svaté Markéty ve Strakonicích se sídlem v tamější nemocnici. Vrchní sestra nás provedla péčí o nevyléčitelně nemocné. V průběhu roku jsme totiž navázali spolupráci u jednoho umírajícího uživatele, který neměl dostatečně zajištěnou péči. </w:t>
      </w: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Kromě toho jsme se zapojili do projektu „Sociální služby odborně“ určený pro sociální pracovníky a využili jsme nabídku bezplatné odborné konzultace k vnitřním pravidlům Mgr. Michaelou Veselou z Asociace poskytovatelů sociálních služeb.</w:t>
      </w:r>
    </w:p>
    <w:p w:rsidR="000A334E" w:rsidRPr="0045014E" w:rsidRDefault="000A334E" w:rsidP="000A334E">
      <w:pPr>
        <w:jc w:val="both"/>
        <w:rPr>
          <w:rFonts w:ascii="Times New Roman" w:hAnsi="Times New Roman" w:cs="Times New Roman"/>
          <w:b/>
          <w:bCs/>
          <w:sz w:val="24"/>
          <w:szCs w:val="24"/>
        </w:rPr>
      </w:pPr>
    </w:p>
    <w:p w:rsidR="000A334E" w:rsidRPr="0045014E" w:rsidRDefault="000A334E" w:rsidP="000A334E">
      <w:pPr>
        <w:jc w:val="both"/>
        <w:rPr>
          <w:rFonts w:ascii="Times New Roman" w:hAnsi="Times New Roman" w:cs="Times New Roman"/>
          <w:b/>
          <w:bCs/>
          <w:i/>
          <w:iCs/>
          <w:sz w:val="24"/>
          <w:szCs w:val="24"/>
          <w:u w:val="single"/>
        </w:rPr>
      </w:pPr>
      <w:r w:rsidRPr="0045014E">
        <w:rPr>
          <w:rFonts w:ascii="Times New Roman" w:hAnsi="Times New Roman" w:cs="Times New Roman"/>
          <w:b/>
          <w:bCs/>
          <w:i/>
          <w:iCs/>
          <w:sz w:val="24"/>
          <w:szCs w:val="24"/>
          <w:u w:val="single"/>
        </w:rPr>
        <w:t>PŮJČOVNA KOMPENZAČNÍCH POMŮCEK</w:t>
      </w: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 xml:space="preserve">Půjčovna je úzce spojena s Pečovatelskou službou tím, že za její provoz částí úvazku zodpovídá sociální pracovnice. </w:t>
      </w: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 xml:space="preserve">Díky tomu jsou pomůcky uživatelům Pečovatelské služby k dispozici v podstatě ihned, když je klienti potřebují při zhoršení zdravotního stavu. Kromě chodítek a toaletních židlí je největší zájem o mechanické invalidní vozíky, proto jsme sklad kompenzačních pomůcek rozšířili o dalších pět kusů. </w:t>
      </w:r>
    </w:p>
    <w:p w:rsidR="000A334E" w:rsidRPr="0045014E" w:rsidRDefault="000A334E" w:rsidP="000A334E">
      <w:pPr>
        <w:ind w:firstLine="708"/>
        <w:jc w:val="both"/>
        <w:rPr>
          <w:rFonts w:ascii="Times New Roman" w:hAnsi="Times New Roman" w:cs="Times New Roman"/>
          <w:sz w:val="24"/>
          <w:szCs w:val="24"/>
        </w:rPr>
      </w:pPr>
      <w:r w:rsidRPr="0045014E">
        <w:rPr>
          <w:rFonts w:ascii="Times New Roman" w:hAnsi="Times New Roman" w:cs="Times New Roman"/>
          <w:sz w:val="24"/>
          <w:szCs w:val="24"/>
        </w:rPr>
        <w:t xml:space="preserve">Během roku jsme také dokončili obnovu matrací k elektrickým polohovacím lůžkům. Jedná se o pasivní antidekubitní matrace, které u imobilních klientů působí preventivně při vzniku proleženin. </w:t>
      </w:r>
    </w:p>
    <w:p w:rsidR="00990877" w:rsidRDefault="00990877" w:rsidP="00990877">
      <w:pPr>
        <w:tabs>
          <w:tab w:val="left" w:pos="960"/>
        </w:tabs>
        <w:rPr>
          <w:rFonts w:ascii="Times New Roman" w:hAnsi="Times New Roman" w:cs="Times New Roman"/>
          <w:sz w:val="24"/>
          <w:szCs w:val="24"/>
        </w:rPr>
      </w:pPr>
    </w:p>
    <w:p w:rsidR="000A334E" w:rsidRDefault="000A334E" w:rsidP="00990877">
      <w:pPr>
        <w:tabs>
          <w:tab w:val="left" w:pos="960"/>
        </w:tabs>
        <w:rPr>
          <w:rFonts w:ascii="Times New Roman" w:hAnsi="Times New Roman" w:cs="Times New Roman"/>
          <w:sz w:val="24"/>
          <w:szCs w:val="24"/>
        </w:rPr>
      </w:pPr>
    </w:p>
    <w:p w:rsidR="000A334E" w:rsidRDefault="000A334E" w:rsidP="00990877">
      <w:pPr>
        <w:tabs>
          <w:tab w:val="left" w:pos="960"/>
        </w:tabs>
        <w:rPr>
          <w:rFonts w:ascii="Times New Roman" w:hAnsi="Times New Roman" w:cs="Times New Roman"/>
          <w:sz w:val="24"/>
          <w:szCs w:val="24"/>
        </w:rPr>
      </w:pPr>
    </w:p>
    <w:p w:rsidR="000A334E" w:rsidRDefault="000A334E" w:rsidP="00990877">
      <w:pPr>
        <w:tabs>
          <w:tab w:val="left" w:pos="960"/>
        </w:tabs>
        <w:rPr>
          <w:rFonts w:ascii="Times New Roman" w:hAnsi="Times New Roman" w:cs="Times New Roman"/>
          <w:sz w:val="24"/>
          <w:szCs w:val="24"/>
        </w:rPr>
      </w:pPr>
    </w:p>
    <w:p w:rsidR="000A334E" w:rsidRDefault="000A334E" w:rsidP="00990877">
      <w:pPr>
        <w:tabs>
          <w:tab w:val="left" w:pos="960"/>
        </w:tabs>
        <w:rPr>
          <w:rFonts w:ascii="Times New Roman" w:hAnsi="Times New Roman" w:cs="Times New Roman"/>
          <w:sz w:val="24"/>
          <w:szCs w:val="24"/>
        </w:rPr>
      </w:pPr>
    </w:p>
    <w:p w:rsidR="00070987" w:rsidRDefault="000A334E" w:rsidP="00990877">
      <w:pPr>
        <w:tabs>
          <w:tab w:val="left" w:pos="960"/>
        </w:tabs>
        <w:rPr>
          <w:rFonts w:ascii="Times New Roman" w:hAnsi="Times New Roman" w:cs="Times New Roman"/>
          <w:sz w:val="24"/>
          <w:szCs w:val="24"/>
        </w:rPr>
      </w:pPr>
      <w:r w:rsidRPr="00070987">
        <w:rPr>
          <w:noProof/>
          <w:lang w:eastAsia="cs-CZ"/>
        </w:rPr>
        <w:lastRenderedPageBreak/>
        <w:drawing>
          <wp:inline distT="0" distB="0" distL="0" distR="0" wp14:anchorId="7409713E" wp14:editId="59A43E16">
            <wp:extent cx="6188710" cy="4153535"/>
            <wp:effectExtent l="0" t="0" r="2540" b="18415"/>
            <wp:docPr id="38" name="Graf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70987" w:rsidRDefault="00070987" w:rsidP="00070987">
      <w:pPr>
        <w:rPr>
          <w:rFonts w:ascii="Times New Roman" w:hAnsi="Times New Roman" w:cs="Times New Roman"/>
          <w:sz w:val="24"/>
          <w:szCs w:val="24"/>
        </w:rPr>
      </w:pPr>
    </w:p>
    <w:p w:rsidR="000A334E" w:rsidRDefault="00070987" w:rsidP="00070987">
      <w:pPr>
        <w:tabs>
          <w:tab w:val="left" w:pos="1005"/>
        </w:tabs>
        <w:rPr>
          <w:rFonts w:ascii="Times New Roman" w:hAnsi="Times New Roman" w:cs="Times New Roman"/>
          <w:sz w:val="24"/>
          <w:szCs w:val="24"/>
        </w:rPr>
      </w:pPr>
      <w:r>
        <w:rPr>
          <w:rFonts w:ascii="Times New Roman" w:hAnsi="Times New Roman" w:cs="Times New Roman"/>
          <w:sz w:val="24"/>
          <w:szCs w:val="24"/>
        </w:rPr>
        <w:tab/>
      </w:r>
    </w:p>
    <w:p w:rsidR="00070987" w:rsidRDefault="00070987" w:rsidP="00070987">
      <w:pPr>
        <w:tabs>
          <w:tab w:val="left" w:pos="1005"/>
        </w:tabs>
        <w:rPr>
          <w:rFonts w:ascii="Times New Roman" w:hAnsi="Times New Roman" w:cs="Times New Roman"/>
          <w:sz w:val="24"/>
          <w:szCs w:val="24"/>
        </w:rPr>
      </w:pPr>
      <w:r>
        <w:rPr>
          <w:noProof/>
          <w:lang w:eastAsia="cs-CZ"/>
        </w:rPr>
        <w:drawing>
          <wp:inline distT="0" distB="0" distL="0" distR="0" wp14:anchorId="5E88E26D" wp14:editId="06C3A950">
            <wp:extent cx="6188710" cy="3856355"/>
            <wp:effectExtent l="0" t="0" r="2540" b="10795"/>
            <wp:docPr id="46" name="Graf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70987" w:rsidRPr="00070987" w:rsidRDefault="00070987" w:rsidP="00070987">
      <w:pPr>
        <w:tabs>
          <w:tab w:val="left" w:pos="1005"/>
        </w:tabs>
        <w:jc w:val="center"/>
        <w:rPr>
          <w:rFonts w:ascii="Times New Roman" w:hAnsi="Times New Roman" w:cs="Times New Roman"/>
          <w:sz w:val="28"/>
          <w:szCs w:val="28"/>
        </w:rPr>
      </w:pPr>
      <w:r w:rsidRPr="00070987">
        <w:rPr>
          <w:rFonts w:ascii="Times New Roman" w:hAnsi="Times New Roman" w:cs="Times New Roman"/>
          <w:sz w:val="28"/>
          <w:szCs w:val="28"/>
        </w:rPr>
        <w:lastRenderedPageBreak/>
        <w:t>Zajištění obědů v období leden – prosinec 2019</w:t>
      </w:r>
    </w:p>
    <w:tbl>
      <w:tblPr>
        <w:tblW w:w="4760" w:type="dxa"/>
        <w:jc w:val="center"/>
        <w:tblCellMar>
          <w:left w:w="70" w:type="dxa"/>
          <w:right w:w="70" w:type="dxa"/>
        </w:tblCellMar>
        <w:tblLook w:val="04A0" w:firstRow="1" w:lastRow="0" w:firstColumn="1" w:lastColumn="0" w:noHBand="0" w:noVBand="1"/>
      </w:tblPr>
      <w:tblGrid>
        <w:gridCol w:w="2460"/>
        <w:gridCol w:w="2300"/>
      </w:tblGrid>
      <w:tr w:rsidR="00070987" w:rsidRPr="00070987" w:rsidTr="00070987">
        <w:trPr>
          <w:trHeight w:val="315"/>
          <w:jc w:val="center"/>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b/>
                <w:bCs/>
                <w:sz w:val="24"/>
                <w:szCs w:val="24"/>
                <w:lang w:eastAsia="cs-CZ"/>
              </w:rPr>
            </w:pPr>
            <w:r w:rsidRPr="00070987">
              <w:rPr>
                <w:rFonts w:ascii="Times New Roman" w:eastAsia="Times New Roman" w:hAnsi="Times New Roman" w:cs="Times New Roman"/>
                <w:b/>
                <w:bCs/>
                <w:sz w:val="24"/>
                <w:szCs w:val="24"/>
                <w:lang w:eastAsia="cs-CZ"/>
              </w:rPr>
              <w:t>Měsíc/Rok</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b/>
                <w:bCs/>
                <w:sz w:val="24"/>
                <w:szCs w:val="24"/>
                <w:lang w:eastAsia="cs-CZ"/>
              </w:rPr>
            </w:pPr>
            <w:r w:rsidRPr="00070987">
              <w:rPr>
                <w:rFonts w:ascii="Times New Roman" w:eastAsia="Times New Roman" w:hAnsi="Times New Roman" w:cs="Times New Roman"/>
                <w:b/>
                <w:bCs/>
                <w:sz w:val="24"/>
                <w:szCs w:val="24"/>
                <w:lang w:eastAsia="cs-CZ"/>
              </w:rPr>
              <w:t>Obědů</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1/2019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2228</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2119</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3/2019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2327</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4/2019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2262</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5/2019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2318</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6/2019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2171</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7/2019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2343</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8/2019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2307</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9/2019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2203</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10/2019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2354</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11/2019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2255</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12/2019</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color w:val="000000"/>
                <w:sz w:val="24"/>
                <w:szCs w:val="24"/>
                <w:lang w:eastAsia="cs-CZ"/>
              </w:rPr>
            </w:pPr>
            <w:r w:rsidRPr="00070987">
              <w:rPr>
                <w:rFonts w:ascii="Times New Roman" w:eastAsia="Times New Roman" w:hAnsi="Times New Roman" w:cs="Times New Roman"/>
                <w:color w:val="000000"/>
                <w:sz w:val="24"/>
                <w:szCs w:val="24"/>
                <w:lang w:eastAsia="cs-CZ"/>
              </w:rPr>
              <w:t>2033</w:t>
            </w:r>
          </w:p>
        </w:tc>
      </w:tr>
      <w:tr w:rsidR="00070987" w:rsidRPr="00070987" w:rsidTr="00070987">
        <w:trPr>
          <w:trHeight w:val="315"/>
          <w:jc w:val="center"/>
        </w:trPr>
        <w:tc>
          <w:tcPr>
            <w:tcW w:w="2460" w:type="dxa"/>
            <w:tcBorders>
              <w:top w:val="nil"/>
              <w:left w:val="single" w:sz="4" w:space="0" w:color="auto"/>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b/>
                <w:bCs/>
                <w:sz w:val="24"/>
                <w:szCs w:val="24"/>
                <w:lang w:eastAsia="cs-CZ"/>
              </w:rPr>
            </w:pPr>
            <w:r w:rsidRPr="00070987">
              <w:rPr>
                <w:rFonts w:ascii="Times New Roman" w:eastAsia="Times New Roman" w:hAnsi="Times New Roman" w:cs="Times New Roman"/>
                <w:b/>
                <w:bCs/>
                <w:sz w:val="24"/>
                <w:szCs w:val="24"/>
                <w:lang w:eastAsia="cs-CZ"/>
              </w:rPr>
              <w:t>Celkem:</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070987" w:rsidRPr="00070987" w:rsidRDefault="00070987" w:rsidP="00070987">
            <w:pPr>
              <w:spacing w:after="0" w:line="240" w:lineRule="auto"/>
              <w:jc w:val="center"/>
              <w:rPr>
                <w:rFonts w:ascii="Times New Roman" w:eastAsia="Times New Roman" w:hAnsi="Times New Roman" w:cs="Times New Roman"/>
                <w:b/>
                <w:color w:val="000000"/>
                <w:sz w:val="24"/>
                <w:szCs w:val="24"/>
                <w:lang w:eastAsia="cs-CZ"/>
              </w:rPr>
            </w:pPr>
            <w:r w:rsidRPr="00070987">
              <w:rPr>
                <w:rFonts w:ascii="Times New Roman" w:eastAsia="Times New Roman" w:hAnsi="Times New Roman" w:cs="Times New Roman"/>
                <w:b/>
                <w:color w:val="000000"/>
                <w:sz w:val="24"/>
                <w:szCs w:val="24"/>
                <w:lang w:eastAsia="cs-CZ"/>
              </w:rPr>
              <w:t>26920</w:t>
            </w:r>
          </w:p>
        </w:tc>
      </w:tr>
    </w:tbl>
    <w:p w:rsidR="00070987" w:rsidRDefault="00070987" w:rsidP="00070987">
      <w:pPr>
        <w:tabs>
          <w:tab w:val="left" w:pos="1005"/>
        </w:tabs>
        <w:rPr>
          <w:rFonts w:ascii="Times New Roman" w:hAnsi="Times New Roman" w:cs="Times New Roman"/>
          <w:sz w:val="24"/>
          <w:szCs w:val="24"/>
        </w:rPr>
      </w:pPr>
    </w:p>
    <w:p w:rsidR="00070987" w:rsidRDefault="00070987" w:rsidP="00070987">
      <w:pPr>
        <w:tabs>
          <w:tab w:val="left" w:pos="1005"/>
        </w:tabs>
        <w:rPr>
          <w:rFonts w:ascii="Times New Roman" w:hAnsi="Times New Roman" w:cs="Times New Roman"/>
          <w:sz w:val="24"/>
          <w:szCs w:val="24"/>
        </w:rPr>
      </w:pPr>
    </w:p>
    <w:p w:rsidR="00070987" w:rsidRDefault="00070987" w:rsidP="00070987">
      <w:pPr>
        <w:tabs>
          <w:tab w:val="left" w:pos="1005"/>
        </w:tabs>
        <w:rPr>
          <w:rFonts w:ascii="Times New Roman" w:hAnsi="Times New Roman" w:cs="Times New Roman"/>
          <w:sz w:val="24"/>
          <w:szCs w:val="24"/>
        </w:rPr>
      </w:pPr>
    </w:p>
    <w:p w:rsidR="00B94084" w:rsidRDefault="00070987" w:rsidP="00070987">
      <w:pPr>
        <w:tabs>
          <w:tab w:val="left" w:pos="1005"/>
        </w:tabs>
        <w:rPr>
          <w:rFonts w:ascii="Times New Roman" w:hAnsi="Times New Roman" w:cs="Times New Roman"/>
          <w:sz w:val="24"/>
          <w:szCs w:val="24"/>
        </w:rPr>
      </w:pPr>
      <w:r w:rsidRPr="00316416">
        <w:rPr>
          <w:noProof/>
          <w:lang w:eastAsia="cs-CZ"/>
        </w:rPr>
        <w:drawing>
          <wp:inline distT="0" distB="0" distL="0" distR="0" wp14:anchorId="48DD34CF" wp14:editId="693FCF66">
            <wp:extent cx="6188710" cy="2914650"/>
            <wp:effectExtent l="0" t="0" r="2540" b="0"/>
            <wp:docPr id="39" name="Graf 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A66F482C-10E0-4727-9BA9-C8A5A1C80E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B94084" w:rsidRPr="00B94084" w:rsidRDefault="00B94084" w:rsidP="00B94084">
      <w:pPr>
        <w:rPr>
          <w:rFonts w:ascii="Times New Roman" w:hAnsi="Times New Roman" w:cs="Times New Roman"/>
          <w:sz w:val="24"/>
          <w:szCs w:val="24"/>
        </w:rPr>
      </w:pPr>
    </w:p>
    <w:p w:rsidR="00B94084" w:rsidRDefault="00B94084" w:rsidP="00B94084">
      <w:pPr>
        <w:rPr>
          <w:rFonts w:ascii="Times New Roman" w:hAnsi="Times New Roman" w:cs="Times New Roman"/>
          <w:sz w:val="24"/>
          <w:szCs w:val="24"/>
        </w:rPr>
      </w:pPr>
    </w:p>
    <w:p w:rsidR="00070987" w:rsidRDefault="00B94084" w:rsidP="00B94084">
      <w:pPr>
        <w:tabs>
          <w:tab w:val="left" w:pos="3210"/>
        </w:tabs>
        <w:rPr>
          <w:rFonts w:ascii="Times New Roman" w:hAnsi="Times New Roman" w:cs="Times New Roman"/>
          <w:sz w:val="24"/>
          <w:szCs w:val="24"/>
        </w:rPr>
      </w:pPr>
      <w:r>
        <w:rPr>
          <w:rFonts w:ascii="Times New Roman" w:hAnsi="Times New Roman" w:cs="Times New Roman"/>
          <w:sz w:val="24"/>
          <w:szCs w:val="24"/>
        </w:rPr>
        <w:tab/>
      </w:r>
    </w:p>
    <w:p w:rsidR="000A2133" w:rsidRDefault="000A2133" w:rsidP="00B94084">
      <w:pPr>
        <w:tabs>
          <w:tab w:val="left" w:pos="3210"/>
        </w:tabs>
        <w:rPr>
          <w:rFonts w:ascii="Times New Roman" w:hAnsi="Times New Roman" w:cs="Times New Roman"/>
          <w:sz w:val="24"/>
          <w:szCs w:val="24"/>
        </w:rPr>
      </w:pPr>
    </w:p>
    <w:p w:rsidR="000A2133" w:rsidRDefault="000A2133" w:rsidP="00B94084">
      <w:pPr>
        <w:tabs>
          <w:tab w:val="left" w:pos="3210"/>
        </w:tabs>
        <w:rPr>
          <w:rFonts w:ascii="Times New Roman" w:hAnsi="Times New Roman" w:cs="Times New Roman"/>
          <w:sz w:val="24"/>
          <w:szCs w:val="24"/>
        </w:rPr>
      </w:pPr>
    </w:p>
    <w:p w:rsidR="000A2133" w:rsidRDefault="000A2133" w:rsidP="00B94084">
      <w:pPr>
        <w:tabs>
          <w:tab w:val="left" w:pos="3210"/>
        </w:tabs>
        <w:rPr>
          <w:rFonts w:ascii="Times New Roman" w:hAnsi="Times New Roman" w:cs="Times New Roman"/>
          <w:sz w:val="24"/>
          <w:szCs w:val="24"/>
        </w:rPr>
      </w:pPr>
    </w:p>
    <w:p w:rsidR="002E7A60" w:rsidRDefault="002E7A60" w:rsidP="002E7A60">
      <w:pPr>
        <w:tabs>
          <w:tab w:val="left" w:pos="960"/>
        </w:tabs>
        <w:jc w:val="center"/>
        <w:rPr>
          <w:rFonts w:ascii="Times New Roman" w:hAnsi="Times New Roman" w:cs="Times New Roman"/>
          <w:b/>
          <w:sz w:val="40"/>
          <w:szCs w:val="40"/>
        </w:rPr>
      </w:pPr>
      <w:r>
        <w:rPr>
          <w:rFonts w:ascii="Times New Roman" w:hAnsi="Times New Roman" w:cs="Times New Roman"/>
          <w:b/>
          <w:sz w:val="40"/>
          <w:szCs w:val="40"/>
        </w:rPr>
        <w:lastRenderedPageBreak/>
        <w:t>HOSPODAŘENÍ ORGANIZACE</w:t>
      </w:r>
    </w:p>
    <w:p w:rsidR="00FE74AE" w:rsidRDefault="00FE74AE" w:rsidP="002E7A60">
      <w:pPr>
        <w:tabs>
          <w:tab w:val="left" w:pos="960"/>
        </w:tabs>
        <w:jc w:val="center"/>
        <w:rPr>
          <w:rFonts w:ascii="Times New Roman" w:hAnsi="Times New Roman" w:cs="Times New Roman"/>
          <w:b/>
          <w:sz w:val="40"/>
          <w:szCs w:val="40"/>
        </w:rPr>
      </w:pPr>
    </w:p>
    <w:p w:rsidR="002E7A60" w:rsidRDefault="002E7A60" w:rsidP="002E7A60">
      <w:pPr>
        <w:spacing w:line="276" w:lineRule="auto"/>
        <w:jc w:val="both"/>
        <w:rPr>
          <w:rFonts w:ascii="Times New Roman" w:hAnsi="Times New Roman" w:cs="Times New Roman"/>
          <w:sz w:val="24"/>
          <w:szCs w:val="24"/>
        </w:rPr>
      </w:pPr>
      <w:r w:rsidRPr="002E7A60">
        <w:rPr>
          <w:rFonts w:ascii="Times New Roman" w:hAnsi="Times New Roman" w:cs="Times New Roman"/>
          <w:sz w:val="24"/>
          <w:szCs w:val="24"/>
        </w:rPr>
        <w:t xml:space="preserve">Rozpočet DS pro rok 2019 byl schválen jako vyrovnaný usnesením ZM Blatná s celkovými náklady a výnosy ve výši 47 011 764 Kč. Příspěvek na provoz byl stanoven ve výši 2.828.000 Kč (přičemž 1.950.000 Kč na pobytovou službu, 808.000 Kč na pečovatelskou službu a 70.000 Kč na půjčovnu kompenzačních pomůcek). </w:t>
      </w:r>
    </w:p>
    <w:p w:rsidR="002E7A60" w:rsidRPr="002E7A60" w:rsidRDefault="002E7A60" w:rsidP="002E7A60">
      <w:pPr>
        <w:spacing w:line="276" w:lineRule="auto"/>
        <w:jc w:val="both"/>
        <w:rPr>
          <w:rFonts w:ascii="Times New Roman" w:hAnsi="Times New Roman" w:cs="Times New Roman"/>
          <w:sz w:val="24"/>
          <w:szCs w:val="24"/>
        </w:rPr>
      </w:pPr>
      <w:r w:rsidRPr="002E7A60">
        <w:rPr>
          <w:rFonts w:ascii="Times New Roman" w:hAnsi="Times New Roman" w:cs="Times New Roman"/>
          <w:sz w:val="24"/>
          <w:szCs w:val="24"/>
        </w:rPr>
        <w:t>Odvod do rozpočtu zřizovatele z FI byl uložen ve výši 1.440.000 Kč. V průběhu roku byl navýšen o 150.000 Kč, celkový odvod tedy proběhl ve výši 1.590.000 Kč.</w:t>
      </w:r>
    </w:p>
    <w:p w:rsidR="002E7A60" w:rsidRPr="002E7A60" w:rsidRDefault="002E7A60" w:rsidP="002E7A60">
      <w:pPr>
        <w:spacing w:line="276" w:lineRule="auto"/>
        <w:jc w:val="both"/>
        <w:rPr>
          <w:rFonts w:ascii="Times New Roman" w:hAnsi="Times New Roman" w:cs="Times New Roman"/>
          <w:sz w:val="24"/>
          <w:szCs w:val="24"/>
        </w:rPr>
      </w:pPr>
      <w:r w:rsidRPr="002E7A60">
        <w:rPr>
          <w:rFonts w:ascii="Times New Roman" w:hAnsi="Times New Roman" w:cs="Times New Roman"/>
          <w:sz w:val="24"/>
          <w:szCs w:val="24"/>
        </w:rPr>
        <w:t>Rozpočtová změna č. 1 se týkala pouze přesunu položek v rámci schváleného rozpočtu.</w:t>
      </w:r>
    </w:p>
    <w:p w:rsidR="002E7A60" w:rsidRPr="002E7A60" w:rsidRDefault="002E7A60" w:rsidP="002E7A60">
      <w:pPr>
        <w:spacing w:line="276" w:lineRule="auto"/>
        <w:jc w:val="both"/>
        <w:rPr>
          <w:rFonts w:ascii="Times New Roman" w:hAnsi="Times New Roman" w:cs="Times New Roman"/>
          <w:sz w:val="24"/>
          <w:szCs w:val="24"/>
        </w:rPr>
      </w:pPr>
      <w:r w:rsidRPr="002E7A60">
        <w:rPr>
          <w:rFonts w:ascii="Times New Roman" w:hAnsi="Times New Roman" w:cs="Times New Roman"/>
          <w:sz w:val="24"/>
          <w:szCs w:val="24"/>
        </w:rPr>
        <w:t>Výsledkem hospodaření k 31.</w:t>
      </w:r>
      <w:r w:rsidR="00316416">
        <w:rPr>
          <w:rFonts w:ascii="Times New Roman" w:hAnsi="Times New Roman" w:cs="Times New Roman"/>
          <w:sz w:val="24"/>
          <w:szCs w:val="24"/>
        </w:rPr>
        <w:t xml:space="preserve"> </w:t>
      </w:r>
      <w:r w:rsidRPr="002E7A60">
        <w:rPr>
          <w:rFonts w:ascii="Times New Roman" w:hAnsi="Times New Roman" w:cs="Times New Roman"/>
          <w:sz w:val="24"/>
          <w:szCs w:val="24"/>
        </w:rPr>
        <w:t>12.</w:t>
      </w:r>
      <w:r w:rsidR="00316416">
        <w:rPr>
          <w:rFonts w:ascii="Times New Roman" w:hAnsi="Times New Roman" w:cs="Times New Roman"/>
          <w:sz w:val="24"/>
          <w:szCs w:val="24"/>
        </w:rPr>
        <w:t xml:space="preserve"> </w:t>
      </w:r>
      <w:r w:rsidRPr="002E7A60">
        <w:rPr>
          <w:rFonts w:ascii="Times New Roman" w:hAnsi="Times New Roman" w:cs="Times New Roman"/>
          <w:sz w:val="24"/>
          <w:szCs w:val="24"/>
        </w:rPr>
        <w:t>2019 je zisk ve výši 68.457,47 Kč, jenž je složen ze:</w:t>
      </w:r>
    </w:p>
    <w:p w:rsidR="002E7A60" w:rsidRPr="002E7A60" w:rsidRDefault="002E7A60" w:rsidP="002E7A60">
      <w:pPr>
        <w:widowControl w:val="0"/>
        <w:numPr>
          <w:ilvl w:val="0"/>
          <w:numId w:val="1"/>
        </w:numPr>
        <w:suppressAutoHyphens/>
        <w:spacing w:after="0" w:line="276" w:lineRule="auto"/>
        <w:jc w:val="both"/>
        <w:rPr>
          <w:rFonts w:ascii="Times New Roman" w:hAnsi="Times New Roman" w:cs="Times New Roman"/>
          <w:sz w:val="24"/>
          <w:szCs w:val="24"/>
        </w:rPr>
      </w:pPr>
      <w:r w:rsidRPr="002E7A60">
        <w:rPr>
          <w:rFonts w:ascii="Times New Roman" w:hAnsi="Times New Roman" w:cs="Times New Roman"/>
          <w:sz w:val="24"/>
          <w:szCs w:val="24"/>
        </w:rPr>
        <w:t>zisku pobytové služby ve výši 21.069,28 Kč</w:t>
      </w:r>
    </w:p>
    <w:p w:rsidR="002E7A60" w:rsidRPr="002E7A60" w:rsidRDefault="002E7A60" w:rsidP="002E7A60">
      <w:pPr>
        <w:widowControl w:val="0"/>
        <w:numPr>
          <w:ilvl w:val="0"/>
          <w:numId w:val="1"/>
        </w:numPr>
        <w:suppressAutoHyphens/>
        <w:spacing w:after="0" w:line="276" w:lineRule="auto"/>
        <w:jc w:val="both"/>
        <w:rPr>
          <w:rFonts w:ascii="Times New Roman" w:hAnsi="Times New Roman" w:cs="Times New Roman"/>
          <w:sz w:val="24"/>
          <w:szCs w:val="24"/>
        </w:rPr>
      </w:pPr>
      <w:r w:rsidRPr="002E7A60">
        <w:rPr>
          <w:rFonts w:ascii="Times New Roman" w:hAnsi="Times New Roman" w:cs="Times New Roman"/>
          <w:sz w:val="24"/>
          <w:szCs w:val="24"/>
        </w:rPr>
        <w:t>zisku pečovatelské služby ve výši 37.214,80 Kč</w:t>
      </w:r>
    </w:p>
    <w:p w:rsidR="002E7A60" w:rsidRPr="002E7A60" w:rsidRDefault="002E7A60" w:rsidP="002E7A60">
      <w:pPr>
        <w:widowControl w:val="0"/>
        <w:numPr>
          <w:ilvl w:val="0"/>
          <w:numId w:val="1"/>
        </w:numPr>
        <w:suppressAutoHyphens/>
        <w:spacing w:after="0" w:line="276" w:lineRule="auto"/>
        <w:jc w:val="both"/>
        <w:rPr>
          <w:rFonts w:ascii="Times New Roman" w:hAnsi="Times New Roman" w:cs="Times New Roman"/>
          <w:sz w:val="24"/>
          <w:szCs w:val="24"/>
        </w:rPr>
      </w:pPr>
      <w:r w:rsidRPr="002E7A60">
        <w:rPr>
          <w:rFonts w:ascii="Times New Roman" w:hAnsi="Times New Roman" w:cs="Times New Roman"/>
          <w:sz w:val="24"/>
          <w:szCs w:val="24"/>
        </w:rPr>
        <w:t>zisku půjčovny kompenzačních pomůcek ve výši 10.173,39 Kč</w:t>
      </w:r>
    </w:p>
    <w:p w:rsidR="002E7A60" w:rsidRPr="002E7A60" w:rsidRDefault="002E7A60" w:rsidP="002E7A60">
      <w:pPr>
        <w:spacing w:line="276" w:lineRule="auto"/>
        <w:jc w:val="both"/>
        <w:rPr>
          <w:rFonts w:ascii="Times New Roman" w:hAnsi="Times New Roman" w:cs="Times New Roman"/>
          <w:sz w:val="24"/>
          <w:szCs w:val="24"/>
        </w:rPr>
      </w:pPr>
      <w:r w:rsidRPr="002E7A60">
        <w:rPr>
          <w:rFonts w:ascii="Times New Roman" w:hAnsi="Times New Roman" w:cs="Times New Roman"/>
          <w:sz w:val="24"/>
          <w:szCs w:val="24"/>
        </w:rPr>
        <w:t>Poprvé jsme se přihlásili do dotačního programu Jihočeského kraje. Pro pobytovou službu jsme získali finanční prostředky ve výši 500.000 Kč (což byla maximální možná výše) a pro pečovatelskou službu jsme získali částku ve výši 192.759 Kč.</w:t>
      </w:r>
    </w:p>
    <w:p w:rsidR="002E7A60" w:rsidRPr="002E7A60" w:rsidRDefault="002E7A60" w:rsidP="002E7A60">
      <w:pPr>
        <w:spacing w:line="276" w:lineRule="auto"/>
        <w:jc w:val="both"/>
        <w:rPr>
          <w:rFonts w:ascii="Times New Roman" w:hAnsi="Times New Roman" w:cs="Times New Roman"/>
          <w:sz w:val="24"/>
          <w:szCs w:val="24"/>
        </w:rPr>
      </w:pPr>
      <w:r w:rsidRPr="002E7A60">
        <w:rPr>
          <w:rFonts w:ascii="Times New Roman" w:hAnsi="Times New Roman" w:cs="Times New Roman"/>
          <w:sz w:val="24"/>
          <w:szCs w:val="24"/>
        </w:rPr>
        <w:t>V tomto roce jsme obdrželi od námi oslovených obcí prostřednictvím veřejnoprávních smluv 9.000 Kč a formou darovacích smluv 117.500 Kč.</w:t>
      </w:r>
    </w:p>
    <w:p w:rsidR="002E7A60" w:rsidRPr="002E7A60" w:rsidRDefault="002E7A60" w:rsidP="002E7A60">
      <w:pPr>
        <w:tabs>
          <w:tab w:val="left" w:pos="960"/>
        </w:tabs>
        <w:jc w:val="center"/>
        <w:rPr>
          <w:rFonts w:ascii="Times New Roman" w:hAnsi="Times New Roman" w:cs="Times New Roman"/>
          <w:sz w:val="24"/>
          <w:szCs w:val="24"/>
        </w:rPr>
      </w:pPr>
      <w:r>
        <w:rPr>
          <w:noProof/>
          <w:lang w:eastAsia="cs-CZ"/>
        </w:rPr>
        <w:drawing>
          <wp:inline distT="0" distB="0" distL="0" distR="0" wp14:anchorId="700CB773" wp14:editId="32E699AF">
            <wp:extent cx="5581650" cy="3648075"/>
            <wp:effectExtent l="0" t="0" r="0" b="9525"/>
            <wp:docPr id="32" name="Graf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C4A05BD-AB11-495B-80F5-A3EEF51751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A2133" w:rsidRPr="00687F0C" w:rsidRDefault="002956AB" w:rsidP="00687F0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956AB">
        <w:rPr>
          <w:rFonts w:ascii="Times New Roman" w:hAnsi="Times New Roman" w:cs="Times New Roman"/>
          <w:bCs/>
          <w:sz w:val="24"/>
          <w:szCs w:val="24"/>
        </w:rPr>
        <w:t>Pozn. Osobní nákl</w:t>
      </w:r>
      <w:r w:rsidR="00AC03DD">
        <w:rPr>
          <w:rFonts w:ascii="Times New Roman" w:hAnsi="Times New Roman" w:cs="Times New Roman"/>
          <w:bCs/>
          <w:sz w:val="24"/>
          <w:szCs w:val="24"/>
        </w:rPr>
        <w:t>ady vzrostly oproti roku 2018 z</w:t>
      </w:r>
      <w:r w:rsidRPr="002956AB">
        <w:rPr>
          <w:rFonts w:ascii="Times New Roman" w:hAnsi="Times New Roman" w:cs="Times New Roman"/>
          <w:bCs/>
          <w:sz w:val="24"/>
          <w:szCs w:val="24"/>
        </w:rPr>
        <w:t xml:space="preserve"> 73% na 76%.</w:t>
      </w:r>
    </w:p>
    <w:p w:rsidR="00943BDC" w:rsidRDefault="00943BDC" w:rsidP="00943BDC">
      <w:pPr>
        <w:tabs>
          <w:tab w:val="left" w:pos="3210"/>
        </w:tabs>
        <w:jc w:val="center"/>
        <w:rPr>
          <w:rFonts w:ascii="Times New Roman" w:hAnsi="Times New Roman" w:cs="Times New Roman"/>
          <w:sz w:val="24"/>
          <w:szCs w:val="24"/>
        </w:rPr>
      </w:pPr>
      <w:r>
        <w:rPr>
          <w:noProof/>
          <w:lang w:eastAsia="cs-CZ"/>
        </w:rPr>
        <w:lastRenderedPageBreak/>
        <w:drawing>
          <wp:inline distT="0" distB="0" distL="0" distR="0" wp14:anchorId="09A77B5D" wp14:editId="79345A0D">
            <wp:extent cx="5715000" cy="3257550"/>
            <wp:effectExtent l="0" t="0" r="0" b="0"/>
            <wp:docPr id="47" name="Graf 4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9EF3DB5E-6122-4D29-900E-550A53CA81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943BDC" w:rsidRDefault="00943BDC" w:rsidP="00943BDC">
      <w:pPr>
        <w:rPr>
          <w:rFonts w:ascii="Times New Roman" w:hAnsi="Times New Roman" w:cs="Times New Roman"/>
          <w:sz w:val="24"/>
          <w:szCs w:val="24"/>
        </w:rPr>
      </w:pPr>
    </w:p>
    <w:p w:rsidR="00943BDC" w:rsidRPr="00943BDC" w:rsidRDefault="00943BDC" w:rsidP="00943BDC">
      <w:pPr>
        <w:rPr>
          <w:rFonts w:ascii="Times New Roman" w:hAnsi="Times New Roman" w:cs="Times New Roman"/>
          <w:b/>
          <w:sz w:val="24"/>
          <w:szCs w:val="24"/>
        </w:rPr>
      </w:pPr>
      <w:r w:rsidRPr="00943BDC">
        <w:rPr>
          <w:rFonts w:ascii="Times New Roman" w:hAnsi="Times New Roman" w:cs="Times New Roman"/>
          <w:b/>
          <w:sz w:val="24"/>
          <w:szCs w:val="24"/>
        </w:rPr>
        <w:t>Přehled nákladových a výnosových položek v Kč</w:t>
      </w:r>
    </w:p>
    <w:tbl>
      <w:tblPr>
        <w:tblStyle w:val="Mkatabulky"/>
        <w:tblW w:w="8166" w:type="dxa"/>
        <w:jc w:val="center"/>
        <w:tblLook w:val="04A0" w:firstRow="1" w:lastRow="0" w:firstColumn="1" w:lastColumn="0" w:noHBand="0" w:noVBand="1"/>
      </w:tblPr>
      <w:tblGrid>
        <w:gridCol w:w="543"/>
        <w:gridCol w:w="2996"/>
        <w:gridCol w:w="1366"/>
        <w:gridCol w:w="1599"/>
        <w:gridCol w:w="1662"/>
      </w:tblGrid>
      <w:tr w:rsidR="00943BDC" w:rsidRPr="00943BDC" w:rsidTr="00943BDC">
        <w:trPr>
          <w:jc w:val="center"/>
        </w:trPr>
        <w:tc>
          <w:tcPr>
            <w:tcW w:w="3539" w:type="dxa"/>
            <w:gridSpan w:val="2"/>
          </w:tcPr>
          <w:p w:rsidR="00943BDC" w:rsidRPr="00943BDC" w:rsidRDefault="00943BDC" w:rsidP="00943BDC">
            <w:pPr>
              <w:spacing w:line="276" w:lineRule="auto"/>
              <w:rPr>
                <w:rFonts w:ascii="Times New Roman" w:hAnsi="Times New Roman" w:cs="Times New Roman"/>
                <w:b/>
                <w:i/>
                <w:sz w:val="20"/>
                <w:szCs w:val="20"/>
              </w:rPr>
            </w:pPr>
          </w:p>
          <w:p w:rsidR="00943BDC" w:rsidRPr="00943BDC" w:rsidRDefault="00943BDC" w:rsidP="00943BDC">
            <w:pPr>
              <w:spacing w:line="276" w:lineRule="auto"/>
              <w:rPr>
                <w:rFonts w:ascii="Times New Roman" w:hAnsi="Times New Roman" w:cs="Times New Roman"/>
                <w:b/>
                <w:i/>
                <w:sz w:val="20"/>
                <w:szCs w:val="20"/>
              </w:rPr>
            </w:pPr>
            <w:r w:rsidRPr="00943BDC">
              <w:rPr>
                <w:rFonts w:ascii="Times New Roman" w:hAnsi="Times New Roman" w:cs="Times New Roman"/>
                <w:b/>
                <w:i/>
                <w:sz w:val="20"/>
                <w:szCs w:val="20"/>
              </w:rPr>
              <w:t>Náklady příspěvkové organizace</w:t>
            </w:r>
          </w:p>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b/>
                <w:i/>
                <w:sz w:val="20"/>
                <w:szCs w:val="20"/>
              </w:rPr>
              <w:t>Domov pro seniory pro rok 2019</w:t>
            </w:r>
          </w:p>
        </w:tc>
        <w:tc>
          <w:tcPr>
            <w:tcW w:w="1366" w:type="dxa"/>
          </w:tcPr>
          <w:p w:rsidR="00943BDC" w:rsidRPr="00943BDC" w:rsidRDefault="00943BDC" w:rsidP="00943BDC">
            <w:pPr>
              <w:spacing w:line="276" w:lineRule="auto"/>
              <w:jc w:val="center"/>
              <w:rPr>
                <w:rFonts w:ascii="Times New Roman" w:hAnsi="Times New Roman" w:cs="Times New Roman"/>
                <w:b/>
                <w:sz w:val="20"/>
                <w:szCs w:val="20"/>
              </w:rPr>
            </w:pP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pobytová</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služba</w:t>
            </w:r>
          </w:p>
        </w:tc>
        <w:tc>
          <w:tcPr>
            <w:tcW w:w="1599" w:type="dxa"/>
          </w:tcPr>
          <w:p w:rsidR="00943BDC" w:rsidRPr="00943BDC" w:rsidRDefault="00943BDC" w:rsidP="00943BDC">
            <w:pPr>
              <w:spacing w:line="276" w:lineRule="auto"/>
              <w:jc w:val="center"/>
              <w:rPr>
                <w:rFonts w:ascii="Times New Roman" w:hAnsi="Times New Roman" w:cs="Times New Roman"/>
                <w:b/>
                <w:sz w:val="20"/>
                <w:szCs w:val="20"/>
              </w:rPr>
            </w:pP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pečovatelská</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služba</w:t>
            </w:r>
          </w:p>
        </w:tc>
        <w:tc>
          <w:tcPr>
            <w:tcW w:w="1662" w:type="dxa"/>
          </w:tcPr>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půjčovna</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 xml:space="preserve">kompenzačních </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pomůcek</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501</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Spotřeba materiálu</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4.178.132,54</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1.141.182,70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683,95</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502</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Spotřeba energie</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2.003.109,01</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74.399,66</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511</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Opravy a udržování</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432.824,03</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45.962,26</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12.546,38</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512</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Cestovné</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17.703,69</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1.822,92</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16,39</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513</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Náklady na reprezentaci</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20.798,17</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2.081,83</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518</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Ostatní služby</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861.649,98</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89.209,95</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1.506,93</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521</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Mzdové náklady</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22.482.362,00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2.247.524,00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45.321,00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524</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Zákonné sociální pojištění (SZ a ZP)</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7.517.139,00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736.451,00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14.857,00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525</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Jiné sociální pojištění</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91.302,00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9.011,00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191,00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527</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 xml:space="preserve">Zákonné sociální náklady </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716.396,27</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67.441,02</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906,41</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531</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Daň silniční</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4.140,00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4.913,00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538</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Jiné daně a poplatky</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1.500,00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548</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Tvorba fondů</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39.482,00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549</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Ostatní náklady z činnosti</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68.582,22</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42.387,64</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1.210,47</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551</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Odpisy dlouhodobého majetku</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1.724.420,05</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238.400,73</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20.471,22</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553</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Prodaný dlouhodobý majetek</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45.000,00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556</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Tvorba a zúčtování opravných položek</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-2.770,70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-1.500,80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557</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Náklady z vyřazených pohledávek</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2.054,00</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2.273,00</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3"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558</w:t>
            </w:r>
          </w:p>
        </w:tc>
        <w:tc>
          <w:tcPr>
            <w:tcW w:w="2996"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 xml:space="preserve">Náklady z drobného </w:t>
            </w:r>
            <w:proofErr w:type="spellStart"/>
            <w:r w:rsidRPr="00943BDC">
              <w:rPr>
                <w:rFonts w:ascii="Times New Roman" w:hAnsi="Times New Roman" w:cs="Times New Roman"/>
                <w:sz w:val="20"/>
                <w:szCs w:val="20"/>
              </w:rPr>
              <w:t>dlouhod</w:t>
            </w:r>
            <w:proofErr w:type="spellEnd"/>
            <w:r w:rsidRPr="00943BDC">
              <w:rPr>
                <w:rFonts w:ascii="Times New Roman" w:hAnsi="Times New Roman" w:cs="Times New Roman"/>
                <w:sz w:val="20"/>
                <w:szCs w:val="20"/>
              </w:rPr>
              <w:t>. majetku</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270.370,76</w:t>
            </w:r>
          </w:p>
        </w:tc>
        <w:tc>
          <w:tcPr>
            <w:tcW w:w="159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50.791,19</w:t>
            </w:r>
          </w:p>
        </w:tc>
        <w:tc>
          <w:tcPr>
            <w:tcW w:w="1662"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64.257,86</w:t>
            </w:r>
          </w:p>
        </w:tc>
      </w:tr>
      <w:tr w:rsidR="00943BDC" w:rsidRPr="00943BDC" w:rsidTr="00943BDC">
        <w:trPr>
          <w:jc w:val="center"/>
        </w:trPr>
        <w:tc>
          <w:tcPr>
            <w:tcW w:w="3539" w:type="dxa"/>
            <w:gridSpan w:val="2"/>
          </w:tcPr>
          <w:p w:rsidR="00943BDC" w:rsidRPr="00943BDC" w:rsidRDefault="00943BDC" w:rsidP="00943BDC">
            <w:pPr>
              <w:spacing w:line="276" w:lineRule="auto"/>
              <w:rPr>
                <w:rFonts w:ascii="Times New Roman" w:hAnsi="Times New Roman" w:cs="Times New Roman"/>
                <w:b/>
                <w:sz w:val="20"/>
                <w:szCs w:val="20"/>
              </w:rPr>
            </w:pPr>
            <w:r w:rsidRPr="00943BDC">
              <w:rPr>
                <w:rFonts w:ascii="Times New Roman" w:hAnsi="Times New Roman" w:cs="Times New Roman"/>
                <w:b/>
                <w:sz w:val="20"/>
                <w:szCs w:val="20"/>
              </w:rPr>
              <w:t>Náklady celkem</w:t>
            </w:r>
          </w:p>
        </w:tc>
        <w:tc>
          <w:tcPr>
            <w:tcW w:w="1366" w:type="dxa"/>
          </w:tcPr>
          <w:p w:rsidR="00943BDC" w:rsidRPr="00943BDC" w:rsidRDefault="00943BDC" w:rsidP="00943BDC">
            <w:pPr>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40.389.713,02</w:t>
            </w:r>
          </w:p>
        </w:tc>
        <w:tc>
          <w:tcPr>
            <w:tcW w:w="1599" w:type="dxa"/>
          </w:tcPr>
          <w:p w:rsidR="00943BDC" w:rsidRPr="00943BDC" w:rsidRDefault="00943BDC" w:rsidP="00943BDC">
            <w:pPr>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4.836.833,10</w:t>
            </w:r>
          </w:p>
        </w:tc>
        <w:tc>
          <w:tcPr>
            <w:tcW w:w="1662" w:type="dxa"/>
          </w:tcPr>
          <w:p w:rsidR="00943BDC" w:rsidRPr="00943BDC" w:rsidRDefault="00943BDC" w:rsidP="00943BDC">
            <w:pPr>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161.968,61</w:t>
            </w:r>
          </w:p>
        </w:tc>
      </w:tr>
    </w:tbl>
    <w:p w:rsidR="002956AB" w:rsidRDefault="002956AB" w:rsidP="00943BDC">
      <w:pPr>
        <w:ind w:firstLine="708"/>
        <w:rPr>
          <w:rFonts w:ascii="Times New Roman" w:hAnsi="Times New Roman" w:cs="Times New Roman"/>
          <w:sz w:val="24"/>
          <w:szCs w:val="24"/>
        </w:rPr>
      </w:pPr>
    </w:p>
    <w:tbl>
      <w:tblPr>
        <w:tblStyle w:val="Mkatabulky"/>
        <w:tblW w:w="8067" w:type="dxa"/>
        <w:jc w:val="center"/>
        <w:tblLook w:val="04A0" w:firstRow="1" w:lastRow="0" w:firstColumn="1" w:lastColumn="0" w:noHBand="0" w:noVBand="1"/>
      </w:tblPr>
      <w:tblGrid>
        <w:gridCol w:w="545"/>
        <w:gridCol w:w="2807"/>
        <w:gridCol w:w="1366"/>
        <w:gridCol w:w="1670"/>
        <w:gridCol w:w="1679"/>
      </w:tblGrid>
      <w:tr w:rsidR="00943BDC" w:rsidRPr="00943BDC" w:rsidTr="00943BDC">
        <w:trPr>
          <w:jc w:val="center"/>
        </w:trPr>
        <w:tc>
          <w:tcPr>
            <w:tcW w:w="3352" w:type="dxa"/>
            <w:gridSpan w:val="2"/>
          </w:tcPr>
          <w:p w:rsidR="00943BDC" w:rsidRPr="00943BDC" w:rsidRDefault="00943BDC" w:rsidP="00943BDC">
            <w:pPr>
              <w:spacing w:line="276" w:lineRule="auto"/>
              <w:jc w:val="center"/>
              <w:rPr>
                <w:rFonts w:ascii="Times New Roman" w:hAnsi="Times New Roman" w:cs="Times New Roman"/>
                <w:b/>
                <w:i/>
                <w:sz w:val="20"/>
                <w:szCs w:val="20"/>
              </w:rPr>
            </w:pPr>
          </w:p>
          <w:p w:rsidR="00943BDC" w:rsidRPr="00943BDC" w:rsidRDefault="00943BDC" w:rsidP="00943BDC">
            <w:pPr>
              <w:spacing w:line="276" w:lineRule="auto"/>
              <w:jc w:val="center"/>
              <w:rPr>
                <w:rFonts w:ascii="Times New Roman" w:hAnsi="Times New Roman" w:cs="Times New Roman"/>
                <w:b/>
                <w:i/>
                <w:sz w:val="20"/>
                <w:szCs w:val="20"/>
              </w:rPr>
            </w:pPr>
            <w:r w:rsidRPr="00943BDC">
              <w:rPr>
                <w:rFonts w:ascii="Times New Roman" w:hAnsi="Times New Roman" w:cs="Times New Roman"/>
                <w:b/>
                <w:i/>
                <w:sz w:val="20"/>
                <w:szCs w:val="20"/>
              </w:rPr>
              <w:t>Výnosy příspěvkové organizace</w:t>
            </w:r>
          </w:p>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b/>
                <w:i/>
                <w:sz w:val="20"/>
                <w:szCs w:val="20"/>
              </w:rPr>
              <w:t>Domov pro seniory pro rok 2019</w:t>
            </w:r>
          </w:p>
        </w:tc>
        <w:tc>
          <w:tcPr>
            <w:tcW w:w="1366" w:type="dxa"/>
          </w:tcPr>
          <w:p w:rsidR="00943BDC" w:rsidRPr="00943BDC" w:rsidRDefault="00943BDC" w:rsidP="00943BDC">
            <w:pPr>
              <w:spacing w:line="276" w:lineRule="auto"/>
              <w:jc w:val="center"/>
              <w:rPr>
                <w:rFonts w:ascii="Times New Roman" w:hAnsi="Times New Roman" w:cs="Times New Roman"/>
                <w:b/>
                <w:sz w:val="20"/>
                <w:szCs w:val="20"/>
              </w:rPr>
            </w:pP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pobytová</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služba</w:t>
            </w:r>
          </w:p>
        </w:tc>
        <w:tc>
          <w:tcPr>
            <w:tcW w:w="1670" w:type="dxa"/>
          </w:tcPr>
          <w:p w:rsidR="00943BDC" w:rsidRPr="00943BDC" w:rsidRDefault="00943BDC" w:rsidP="00943BDC">
            <w:pPr>
              <w:spacing w:line="276" w:lineRule="auto"/>
              <w:jc w:val="center"/>
              <w:rPr>
                <w:rFonts w:ascii="Times New Roman" w:hAnsi="Times New Roman" w:cs="Times New Roman"/>
                <w:b/>
                <w:sz w:val="20"/>
                <w:szCs w:val="20"/>
              </w:rPr>
            </w:pP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pečovatelská</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služba</w:t>
            </w:r>
          </w:p>
        </w:tc>
        <w:tc>
          <w:tcPr>
            <w:tcW w:w="1679" w:type="dxa"/>
          </w:tcPr>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půjčovna</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 xml:space="preserve">kompenzačních </w:t>
            </w:r>
          </w:p>
          <w:p w:rsidR="00943BDC" w:rsidRPr="00943BDC" w:rsidRDefault="00943BDC" w:rsidP="00943BDC">
            <w:pPr>
              <w:spacing w:line="276" w:lineRule="auto"/>
              <w:jc w:val="center"/>
              <w:rPr>
                <w:rFonts w:ascii="Times New Roman" w:hAnsi="Times New Roman" w:cs="Times New Roman"/>
                <w:b/>
                <w:sz w:val="20"/>
                <w:szCs w:val="20"/>
              </w:rPr>
            </w:pPr>
            <w:r w:rsidRPr="00943BDC">
              <w:rPr>
                <w:rFonts w:ascii="Times New Roman" w:hAnsi="Times New Roman" w:cs="Times New Roman"/>
                <w:b/>
                <w:sz w:val="20"/>
                <w:szCs w:val="20"/>
              </w:rPr>
              <w:t>pomůcek</w:t>
            </w:r>
          </w:p>
        </w:tc>
      </w:tr>
      <w:tr w:rsidR="00943BDC" w:rsidRPr="00943BDC" w:rsidTr="00943BDC">
        <w:trPr>
          <w:trHeight w:val="464"/>
          <w:jc w:val="center"/>
        </w:trPr>
        <w:tc>
          <w:tcPr>
            <w:tcW w:w="545"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601</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Výnosy z prodeje vlastních výrobků</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25.900,00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trHeight w:val="254"/>
          <w:jc w:val="center"/>
        </w:trPr>
        <w:tc>
          <w:tcPr>
            <w:tcW w:w="545"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602</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Výnosy z prodeje služeb</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23.295.489,30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2.354.967,75</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trHeight w:val="272"/>
          <w:jc w:val="center"/>
        </w:trPr>
        <w:tc>
          <w:tcPr>
            <w:tcW w:w="545"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603</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 xml:space="preserve">Nájemné </w:t>
            </w:r>
            <w:proofErr w:type="spellStart"/>
            <w:r w:rsidRPr="00943BDC">
              <w:rPr>
                <w:rFonts w:ascii="Times New Roman" w:hAnsi="Times New Roman" w:cs="Times New Roman"/>
                <w:sz w:val="20"/>
                <w:szCs w:val="20"/>
              </w:rPr>
              <w:t>kompenz.pom</w:t>
            </w:r>
            <w:proofErr w:type="spellEnd"/>
            <w:r w:rsidRPr="00943BDC">
              <w:rPr>
                <w:rFonts w:ascii="Times New Roman" w:hAnsi="Times New Roman" w:cs="Times New Roman"/>
                <w:sz w:val="20"/>
                <w:szCs w:val="20"/>
              </w:rPr>
              <w:t>.</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101.152,00</w:t>
            </w:r>
          </w:p>
        </w:tc>
      </w:tr>
      <w:tr w:rsidR="00943BDC" w:rsidRPr="00943BDC" w:rsidTr="00943BDC">
        <w:trPr>
          <w:trHeight w:val="421"/>
          <w:jc w:val="center"/>
        </w:trPr>
        <w:tc>
          <w:tcPr>
            <w:tcW w:w="545"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646</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Výnosy z prodeje DHM kromě pozemků</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45.000,00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trHeight w:val="95"/>
          <w:jc w:val="center"/>
        </w:trPr>
        <w:tc>
          <w:tcPr>
            <w:tcW w:w="545"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648</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Čerpání fondů</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583.651,00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5"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649</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Ostatní výnosy z činnosti</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44.742,00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1.839,15</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990,00</w:t>
            </w:r>
          </w:p>
        </w:tc>
      </w:tr>
      <w:tr w:rsidR="00943BDC" w:rsidRPr="00943BDC" w:rsidTr="00943BDC">
        <w:trPr>
          <w:jc w:val="center"/>
        </w:trPr>
        <w:tc>
          <w:tcPr>
            <w:tcW w:w="545"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664</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Výnosy z přecenění reálnou hodnotou</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39.482,00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p>
        </w:tc>
      </w:tr>
      <w:tr w:rsidR="00943BDC" w:rsidRPr="00943BDC" w:rsidTr="00943BDC">
        <w:trPr>
          <w:jc w:val="center"/>
        </w:trPr>
        <w:tc>
          <w:tcPr>
            <w:tcW w:w="545" w:type="dxa"/>
            <w:vMerge w:val="restart"/>
          </w:tcPr>
          <w:p w:rsidR="00943BDC" w:rsidRPr="00943BDC" w:rsidRDefault="00943BDC" w:rsidP="00943BDC">
            <w:pPr>
              <w:spacing w:line="276" w:lineRule="auto"/>
              <w:rPr>
                <w:rFonts w:ascii="Times New Roman" w:hAnsi="Times New Roman" w:cs="Times New Roman"/>
                <w:sz w:val="20"/>
                <w:szCs w:val="20"/>
              </w:rPr>
            </w:pPr>
          </w:p>
          <w:p w:rsidR="00943BDC" w:rsidRPr="00943BDC" w:rsidRDefault="00943BDC" w:rsidP="00943BDC">
            <w:pPr>
              <w:spacing w:line="276" w:lineRule="auto"/>
              <w:rPr>
                <w:rFonts w:ascii="Times New Roman" w:hAnsi="Times New Roman" w:cs="Times New Roman"/>
                <w:sz w:val="20"/>
                <w:szCs w:val="20"/>
              </w:rPr>
            </w:pPr>
          </w:p>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672</w:t>
            </w: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Přijaté transfery z ústředních rozpočtů (SR)</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13.952.000,00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1.632.000,00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5" w:type="dxa"/>
            <w:vMerge/>
          </w:tcPr>
          <w:p w:rsidR="00943BDC" w:rsidRPr="00943BDC" w:rsidRDefault="00943BDC" w:rsidP="00943BDC">
            <w:pPr>
              <w:spacing w:line="276" w:lineRule="auto"/>
              <w:rPr>
                <w:rFonts w:ascii="Times New Roman" w:hAnsi="Times New Roman" w:cs="Times New Roman"/>
                <w:sz w:val="20"/>
                <w:szCs w:val="20"/>
              </w:rPr>
            </w:pP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Příspěvek zřizovatele</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2.300.000,00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608.000,00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70.000,00</w:t>
            </w:r>
          </w:p>
        </w:tc>
      </w:tr>
      <w:tr w:rsidR="00943BDC" w:rsidRPr="00943BDC" w:rsidTr="00943BDC">
        <w:trPr>
          <w:jc w:val="center"/>
        </w:trPr>
        <w:tc>
          <w:tcPr>
            <w:tcW w:w="545" w:type="dxa"/>
            <w:vMerge/>
          </w:tcPr>
          <w:p w:rsidR="00943BDC" w:rsidRPr="00943BDC" w:rsidRDefault="00943BDC" w:rsidP="00943BDC">
            <w:pPr>
              <w:spacing w:line="276" w:lineRule="auto"/>
              <w:rPr>
                <w:rFonts w:ascii="Times New Roman" w:hAnsi="Times New Roman" w:cs="Times New Roman"/>
                <w:sz w:val="20"/>
                <w:szCs w:val="20"/>
              </w:rPr>
            </w:pP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Krajský dotační program</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500.000,00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192.759,00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545" w:type="dxa"/>
            <w:vMerge/>
          </w:tcPr>
          <w:p w:rsidR="00943BDC" w:rsidRPr="00943BDC" w:rsidRDefault="00943BDC" w:rsidP="00943BDC">
            <w:pPr>
              <w:spacing w:line="276" w:lineRule="auto"/>
              <w:rPr>
                <w:rFonts w:ascii="Times New Roman" w:hAnsi="Times New Roman" w:cs="Times New Roman"/>
                <w:sz w:val="20"/>
                <w:szCs w:val="20"/>
              </w:rPr>
            </w:pPr>
          </w:p>
        </w:tc>
        <w:tc>
          <w:tcPr>
            <w:tcW w:w="2807" w:type="dxa"/>
          </w:tcPr>
          <w:p w:rsidR="00943BDC" w:rsidRPr="00943BDC" w:rsidRDefault="00943BDC" w:rsidP="00943BDC">
            <w:pPr>
              <w:spacing w:line="276" w:lineRule="auto"/>
              <w:rPr>
                <w:rFonts w:ascii="Times New Roman" w:hAnsi="Times New Roman" w:cs="Times New Roman"/>
                <w:sz w:val="20"/>
                <w:szCs w:val="20"/>
              </w:rPr>
            </w:pPr>
            <w:r w:rsidRPr="00943BDC">
              <w:rPr>
                <w:rFonts w:ascii="Times New Roman" w:hAnsi="Times New Roman" w:cs="Times New Roman"/>
                <w:sz w:val="20"/>
                <w:szCs w:val="20"/>
              </w:rPr>
              <w:t>Neinvestiční příspěvek od ÚSC</w:t>
            </w:r>
          </w:p>
        </w:tc>
        <w:tc>
          <w:tcPr>
            <w:tcW w:w="1366"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9.000,00</w:t>
            </w:r>
          </w:p>
        </w:tc>
        <w:tc>
          <w:tcPr>
            <w:tcW w:w="1670"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c>
          <w:tcPr>
            <w:tcW w:w="1679" w:type="dxa"/>
          </w:tcPr>
          <w:p w:rsidR="00943BDC" w:rsidRPr="00943BDC" w:rsidRDefault="00943BDC" w:rsidP="00943BDC">
            <w:pPr>
              <w:spacing w:line="276" w:lineRule="auto"/>
              <w:jc w:val="right"/>
              <w:rPr>
                <w:rFonts w:ascii="Times New Roman" w:hAnsi="Times New Roman" w:cs="Times New Roman"/>
                <w:sz w:val="20"/>
                <w:szCs w:val="20"/>
              </w:rPr>
            </w:pPr>
            <w:r w:rsidRPr="00943BDC">
              <w:rPr>
                <w:rFonts w:ascii="Times New Roman" w:hAnsi="Times New Roman" w:cs="Times New Roman"/>
                <w:sz w:val="20"/>
                <w:szCs w:val="20"/>
              </w:rPr>
              <w:t>0,00</w:t>
            </w:r>
          </w:p>
        </w:tc>
      </w:tr>
      <w:tr w:rsidR="00943BDC" w:rsidRPr="00943BDC" w:rsidTr="00943BDC">
        <w:trPr>
          <w:jc w:val="center"/>
        </w:trPr>
        <w:tc>
          <w:tcPr>
            <w:tcW w:w="3352" w:type="dxa"/>
            <w:gridSpan w:val="2"/>
          </w:tcPr>
          <w:p w:rsidR="00943BDC" w:rsidRPr="00943BDC" w:rsidRDefault="00943BDC" w:rsidP="00943BDC">
            <w:pPr>
              <w:spacing w:line="276" w:lineRule="auto"/>
              <w:rPr>
                <w:rFonts w:ascii="Times New Roman" w:hAnsi="Times New Roman" w:cs="Times New Roman"/>
                <w:b/>
                <w:sz w:val="20"/>
                <w:szCs w:val="20"/>
              </w:rPr>
            </w:pPr>
            <w:r w:rsidRPr="00943BDC">
              <w:rPr>
                <w:rFonts w:ascii="Times New Roman" w:hAnsi="Times New Roman" w:cs="Times New Roman"/>
                <w:b/>
                <w:sz w:val="20"/>
                <w:szCs w:val="20"/>
              </w:rPr>
              <w:t>Výnosy celkem</w:t>
            </w:r>
          </w:p>
        </w:tc>
        <w:tc>
          <w:tcPr>
            <w:tcW w:w="1366" w:type="dxa"/>
          </w:tcPr>
          <w:p w:rsidR="00943BDC" w:rsidRPr="00943BDC" w:rsidRDefault="00943BDC" w:rsidP="00943BDC">
            <w:pPr>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40.410.782,30</w:t>
            </w:r>
          </w:p>
        </w:tc>
        <w:tc>
          <w:tcPr>
            <w:tcW w:w="1670" w:type="dxa"/>
          </w:tcPr>
          <w:p w:rsidR="00943BDC" w:rsidRPr="00943BDC" w:rsidRDefault="00943BDC" w:rsidP="00943BDC">
            <w:pPr>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4.874.047,90</w:t>
            </w:r>
          </w:p>
        </w:tc>
        <w:tc>
          <w:tcPr>
            <w:tcW w:w="1679" w:type="dxa"/>
          </w:tcPr>
          <w:p w:rsidR="00943BDC" w:rsidRPr="00943BDC" w:rsidRDefault="00943BDC" w:rsidP="00943BDC">
            <w:pPr>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172.142,00</w:t>
            </w:r>
          </w:p>
        </w:tc>
      </w:tr>
    </w:tbl>
    <w:p w:rsidR="00943BDC" w:rsidRDefault="00943BDC" w:rsidP="00943BDC">
      <w:pPr>
        <w:ind w:firstLine="708"/>
        <w:rPr>
          <w:rFonts w:ascii="Times New Roman" w:hAnsi="Times New Roman" w:cs="Times New Roman"/>
          <w:sz w:val="24"/>
          <w:szCs w:val="24"/>
        </w:rPr>
      </w:pPr>
    </w:p>
    <w:tbl>
      <w:tblPr>
        <w:tblStyle w:val="Mkatabulky"/>
        <w:tblW w:w="8046" w:type="dxa"/>
        <w:jc w:val="center"/>
        <w:tblLook w:val="04A0" w:firstRow="1" w:lastRow="0" w:firstColumn="1" w:lastColumn="0" w:noHBand="0" w:noVBand="1"/>
      </w:tblPr>
      <w:tblGrid>
        <w:gridCol w:w="3397"/>
        <w:gridCol w:w="1247"/>
        <w:gridCol w:w="1701"/>
        <w:gridCol w:w="1701"/>
      </w:tblGrid>
      <w:tr w:rsidR="00943BDC" w:rsidRPr="00943BDC" w:rsidTr="00943BDC">
        <w:trPr>
          <w:jc w:val="center"/>
        </w:trPr>
        <w:tc>
          <w:tcPr>
            <w:tcW w:w="3397" w:type="dxa"/>
          </w:tcPr>
          <w:p w:rsidR="00943BDC" w:rsidRPr="00943BDC" w:rsidRDefault="00943BDC" w:rsidP="00943BDC">
            <w:pPr>
              <w:spacing w:line="276" w:lineRule="auto"/>
              <w:rPr>
                <w:rFonts w:ascii="Times New Roman" w:hAnsi="Times New Roman" w:cs="Times New Roman"/>
                <w:b/>
                <w:sz w:val="20"/>
                <w:szCs w:val="20"/>
              </w:rPr>
            </w:pPr>
            <w:r w:rsidRPr="00943BDC">
              <w:rPr>
                <w:rFonts w:ascii="Times New Roman" w:hAnsi="Times New Roman" w:cs="Times New Roman"/>
                <w:b/>
                <w:sz w:val="20"/>
                <w:szCs w:val="20"/>
              </w:rPr>
              <w:t>Hospodářský výsledek</w:t>
            </w:r>
          </w:p>
        </w:tc>
        <w:tc>
          <w:tcPr>
            <w:tcW w:w="1247" w:type="dxa"/>
          </w:tcPr>
          <w:p w:rsidR="00943BDC" w:rsidRPr="00943BDC" w:rsidRDefault="00943BDC" w:rsidP="00943BDC">
            <w:pPr>
              <w:spacing w:line="276" w:lineRule="auto"/>
              <w:ind w:right="-108"/>
              <w:jc w:val="right"/>
              <w:rPr>
                <w:rFonts w:ascii="Times New Roman" w:hAnsi="Times New Roman" w:cs="Times New Roman"/>
                <w:b/>
                <w:sz w:val="20"/>
                <w:szCs w:val="20"/>
              </w:rPr>
            </w:pPr>
            <w:r w:rsidRPr="00943BDC">
              <w:rPr>
                <w:rFonts w:ascii="Times New Roman" w:hAnsi="Times New Roman" w:cs="Times New Roman"/>
                <w:b/>
                <w:sz w:val="20"/>
                <w:szCs w:val="20"/>
              </w:rPr>
              <w:t>21.069,28</w:t>
            </w:r>
          </w:p>
        </w:tc>
        <w:tc>
          <w:tcPr>
            <w:tcW w:w="1701" w:type="dxa"/>
          </w:tcPr>
          <w:p w:rsidR="00943BDC" w:rsidRPr="00943BDC" w:rsidRDefault="00943BDC" w:rsidP="00943BDC">
            <w:pPr>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37.214,80</w:t>
            </w:r>
          </w:p>
        </w:tc>
        <w:tc>
          <w:tcPr>
            <w:tcW w:w="1701" w:type="dxa"/>
          </w:tcPr>
          <w:p w:rsidR="00943BDC" w:rsidRPr="00943BDC" w:rsidRDefault="00943BDC" w:rsidP="00943BDC">
            <w:pPr>
              <w:tabs>
                <w:tab w:val="left" w:pos="1440"/>
                <w:tab w:val="right" w:pos="8998"/>
              </w:tabs>
              <w:spacing w:line="276" w:lineRule="auto"/>
              <w:jc w:val="right"/>
              <w:rPr>
                <w:rFonts w:ascii="Times New Roman" w:hAnsi="Times New Roman" w:cs="Times New Roman"/>
                <w:b/>
                <w:sz w:val="20"/>
                <w:szCs w:val="20"/>
              </w:rPr>
            </w:pPr>
            <w:r w:rsidRPr="00943BDC">
              <w:rPr>
                <w:rFonts w:ascii="Times New Roman" w:hAnsi="Times New Roman" w:cs="Times New Roman"/>
                <w:b/>
                <w:sz w:val="20"/>
                <w:szCs w:val="20"/>
              </w:rPr>
              <w:t>10.173,39</w:t>
            </w:r>
          </w:p>
        </w:tc>
      </w:tr>
    </w:tbl>
    <w:p w:rsidR="00943BDC" w:rsidRDefault="00943BDC" w:rsidP="00943BDC">
      <w:pPr>
        <w:spacing w:line="276" w:lineRule="auto"/>
      </w:pPr>
      <w:r w:rsidRPr="001E5C37">
        <w:t>Pozn. Jedná se o vybrané údaje z účetní závěrky, kompletní závěrka je uložena v kanceláři ekonoma DS.</w:t>
      </w:r>
    </w:p>
    <w:p w:rsidR="00943BDC" w:rsidRDefault="00943BDC" w:rsidP="00943BDC">
      <w:pPr>
        <w:spacing w:line="276" w:lineRule="auto"/>
      </w:pPr>
    </w:p>
    <w:p w:rsidR="00943BDC" w:rsidRDefault="00943BDC" w:rsidP="00943BDC">
      <w:pPr>
        <w:spacing w:line="276" w:lineRule="auto"/>
      </w:pPr>
    </w:p>
    <w:p w:rsidR="00943BDC" w:rsidRPr="001E5C37" w:rsidRDefault="00943BDC" w:rsidP="00943BDC">
      <w:pPr>
        <w:spacing w:line="276" w:lineRule="auto"/>
      </w:pPr>
    </w:p>
    <w:p w:rsidR="00943BDC" w:rsidRDefault="00943BDC" w:rsidP="00943BDC">
      <w:pPr>
        <w:ind w:firstLine="708"/>
        <w:jc w:val="center"/>
        <w:rPr>
          <w:rFonts w:ascii="Times New Roman" w:hAnsi="Times New Roman" w:cs="Times New Roman"/>
          <w:sz w:val="24"/>
          <w:szCs w:val="24"/>
        </w:rPr>
      </w:pPr>
      <w:r>
        <w:rPr>
          <w:noProof/>
          <w:lang w:eastAsia="cs-CZ"/>
        </w:rPr>
        <w:drawing>
          <wp:inline distT="0" distB="0" distL="0" distR="0" wp14:anchorId="6F9D0E10" wp14:editId="77317352">
            <wp:extent cx="5924550" cy="3457575"/>
            <wp:effectExtent l="0" t="0" r="0" b="9525"/>
            <wp:docPr id="48" name="Graf 4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856F701A-5737-474D-8F04-27A0AD912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943BDC" w:rsidRDefault="00943BDC" w:rsidP="00943BDC">
      <w:pPr>
        <w:ind w:firstLine="708"/>
        <w:jc w:val="center"/>
        <w:rPr>
          <w:rFonts w:ascii="Times New Roman" w:hAnsi="Times New Roman" w:cs="Times New Roman"/>
          <w:sz w:val="24"/>
          <w:szCs w:val="24"/>
        </w:rPr>
      </w:pPr>
    </w:p>
    <w:p w:rsidR="00943BDC" w:rsidRPr="00943BDC" w:rsidRDefault="00943BDC" w:rsidP="00943BDC">
      <w:pPr>
        <w:rPr>
          <w:rFonts w:ascii="Times New Roman" w:hAnsi="Times New Roman" w:cs="Times New Roman"/>
          <w:b/>
          <w:sz w:val="24"/>
          <w:szCs w:val="24"/>
        </w:rPr>
      </w:pPr>
      <w:r w:rsidRPr="00943BDC">
        <w:rPr>
          <w:rFonts w:ascii="Times New Roman" w:hAnsi="Times New Roman" w:cs="Times New Roman"/>
          <w:b/>
          <w:sz w:val="24"/>
          <w:szCs w:val="24"/>
        </w:rPr>
        <w:lastRenderedPageBreak/>
        <w:t>Přijaté finanční dary v Kč</w:t>
      </w:r>
    </w:p>
    <w:tbl>
      <w:tblPr>
        <w:tblStyle w:val="Mkatabulky"/>
        <w:tblW w:w="0" w:type="auto"/>
        <w:jc w:val="center"/>
        <w:tblLook w:val="04A0" w:firstRow="1" w:lastRow="0" w:firstColumn="1" w:lastColumn="0" w:noHBand="0" w:noVBand="1"/>
      </w:tblPr>
      <w:tblGrid>
        <w:gridCol w:w="7083"/>
        <w:gridCol w:w="876"/>
      </w:tblGrid>
      <w:tr w:rsidR="00943BDC" w:rsidRPr="00943BDC" w:rsidTr="00943BDC">
        <w:trPr>
          <w:jc w:val="center"/>
        </w:trPr>
        <w:tc>
          <w:tcPr>
            <w:tcW w:w="7083" w:type="dxa"/>
          </w:tcPr>
          <w:p w:rsidR="00943BDC" w:rsidRPr="00943BDC" w:rsidRDefault="00943BDC" w:rsidP="00943BDC">
            <w:pPr>
              <w:spacing w:line="276" w:lineRule="auto"/>
              <w:jc w:val="center"/>
              <w:rPr>
                <w:rFonts w:ascii="Times New Roman" w:hAnsi="Times New Roman" w:cs="Times New Roman"/>
                <w:sz w:val="16"/>
                <w:szCs w:val="16"/>
              </w:rPr>
            </w:pPr>
          </w:p>
          <w:p w:rsidR="00943BDC" w:rsidRPr="00943BDC" w:rsidRDefault="00943BDC" w:rsidP="00943BDC">
            <w:pPr>
              <w:spacing w:line="276" w:lineRule="auto"/>
              <w:jc w:val="center"/>
              <w:rPr>
                <w:rFonts w:ascii="Times New Roman" w:hAnsi="Times New Roman" w:cs="Times New Roman"/>
              </w:rPr>
            </w:pPr>
            <w:r w:rsidRPr="00943BDC">
              <w:rPr>
                <w:rFonts w:ascii="Times New Roman" w:hAnsi="Times New Roman" w:cs="Times New Roman"/>
              </w:rPr>
              <w:t>Dárci</w:t>
            </w:r>
          </w:p>
        </w:tc>
        <w:tc>
          <w:tcPr>
            <w:tcW w:w="876" w:type="dxa"/>
          </w:tcPr>
          <w:p w:rsidR="00943BDC" w:rsidRPr="00943BDC" w:rsidRDefault="00943BDC" w:rsidP="00943BDC">
            <w:pPr>
              <w:spacing w:line="276" w:lineRule="auto"/>
              <w:jc w:val="center"/>
              <w:rPr>
                <w:rFonts w:ascii="Times New Roman" w:hAnsi="Times New Roman" w:cs="Times New Roman"/>
              </w:rPr>
            </w:pPr>
            <w:r w:rsidRPr="00943BDC">
              <w:rPr>
                <w:rFonts w:ascii="Times New Roman" w:hAnsi="Times New Roman" w:cs="Times New Roman"/>
              </w:rPr>
              <w:t>výše daru (v Kč)</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Fyzické osoby</w:t>
            </w:r>
          </w:p>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z důvodu ochrany osobních údajů neuvádíme žádné identifikační údaje</w:t>
            </w:r>
          </w:p>
        </w:tc>
        <w:tc>
          <w:tcPr>
            <w:tcW w:w="876" w:type="dxa"/>
          </w:tcPr>
          <w:p w:rsidR="00943BDC" w:rsidRPr="00943BDC" w:rsidRDefault="00943BDC" w:rsidP="00943BDC">
            <w:pPr>
              <w:spacing w:line="276" w:lineRule="auto"/>
              <w:jc w:val="right"/>
              <w:rPr>
                <w:rFonts w:ascii="Times New Roman" w:hAnsi="Times New Roman" w:cs="Times New Roman"/>
              </w:rPr>
            </w:pPr>
          </w:p>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 xml:space="preserve">64.865 </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Město Sedlice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12.000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Město Bělčice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20.000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Chlum</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4.000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Kadov</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20.000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Lnáře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10.000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Myštice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10.000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Slatina</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5.000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Mišovice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1.000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Kocelovice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5.000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Čečelovice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500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Mačkov</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2.000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Škvořetice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20.000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Záboří</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5.000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Město Luhačovice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1.000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Obec Hudčice</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2.000</w:t>
            </w:r>
          </w:p>
        </w:tc>
      </w:tr>
      <w:tr w:rsidR="00943BDC" w:rsidRPr="00943BDC" w:rsidTr="00943BDC">
        <w:trPr>
          <w:jc w:val="center"/>
        </w:trPr>
        <w:tc>
          <w:tcPr>
            <w:tcW w:w="7083" w:type="dxa"/>
          </w:tcPr>
          <w:p w:rsidR="00943BDC" w:rsidRPr="00943BDC" w:rsidRDefault="00943BDC" w:rsidP="00943BDC">
            <w:pPr>
              <w:spacing w:line="276" w:lineRule="auto"/>
              <w:rPr>
                <w:rFonts w:ascii="Times New Roman" w:hAnsi="Times New Roman" w:cs="Times New Roman"/>
              </w:rPr>
            </w:pPr>
            <w:r w:rsidRPr="00943BDC">
              <w:rPr>
                <w:rFonts w:ascii="Times New Roman" w:hAnsi="Times New Roman" w:cs="Times New Roman"/>
              </w:rPr>
              <w:t>Česká lékárna Holding a.s., Brno</w:t>
            </w:r>
          </w:p>
        </w:tc>
        <w:tc>
          <w:tcPr>
            <w:tcW w:w="876" w:type="dxa"/>
          </w:tcPr>
          <w:p w:rsidR="00943BDC" w:rsidRPr="00943BDC" w:rsidRDefault="00943BDC" w:rsidP="00943BDC">
            <w:pPr>
              <w:spacing w:line="276" w:lineRule="auto"/>
              <w:jc w:val="right"/>
              <w:rPr>
                <w:rFonts w:ascii="Times New Roman" w:hAnsi="Times New Roman" w:cs="Times New Roman"/>
              </w:rPr>
            </w:pPr>
            <w:r w:rsidRPr="00943BDC">
              <w:rPr>
                <w:rFonts w:ascii="Times New Roman" w:hAnsi="Times New Roman" w:cs="Times New Roman"/>
              </w:rPr>
              <w:t>30.000</w:t>
            </w:r>
          </w:p>
        </w:tc>
      </w:tr>
    </w:tbl>
    <w:p w:rsidR="008201D1" w:rsidRDefault="008201D1" w:rsidP="008201D1">
      <w:pPr>
        <w:rPr>
          <w:rFonts w:ascii="Times New Roman" w:hAnsi="Times New Roman" w:cs="Times New Roman"/>
          <w:sz w:val="24"/>
          <w:szCs w:val="24"/>
        </w:rPr>
      </w:pPr>
    </w:p>
    <w:p w:rsidR="008201D1" w:rsidRPr="008201D1" w:rsidRDefault="008201D1" w:rsidP="008201D1">
      <w:pPr>
        <w:spacing w:line="276" w:lineRule="auto"/>
        <w:rPr>
          <w:rFonts w:ascii="Times New Roman" w:hAnsi="Times New Roman" w:cs="Times New Roman"/>
          <w:b/>
          <w:i/>
          <w:sz w:val="24"/>
          <w:szCs w:val="24"/>
        </w:rPr>
      </w:pPr>
      <w:r w:rsidRPr="008201D1">
        <w:rPr>
          <w:rFonts w:ascii="Times New Roman" w:hAnsi="Times New Roman" w:cs="Times New Roman"/>
          <w:b/>
          <w:i/>
          <w:sz w:val="24"/>
          <w:szCs w:val="24"/>
        </w:rPr>
        <w:t>Přijaté věcné dary:</w:t>
      </w:r>
    </w:p>
    <w:p w:rsidR="008201D1" w:rsidRPr="008201D1" w:rsidRDefault="008201D1" w:rsidP="008201D1">
      <w:pPr>
        <w:spacing w:line="276" w:lineRule="auto"/>
        <w:rPr>
          <w:rFonts w:ascii="Times New Roman" w:hAnsi="Times New Roman" w:cs="Times New Roman"/>
          <w:b/>
          <w:i/>
          <w:sz w:val="24"/>
          <w:szCs w:val="24"/>
        </w:rPr>
      </w:pPr>
      <w:r w:rsidRPr="008201D1">
        <w:rPr>
          <w:rFonts w:ascii="Times New Roman" w:hAnsi="Times New Roman" w:cs="Times New Roman"/>
          <w:bCs/>
          <w:iCs/>
          <w:sz w:val="24"/>
          <w:szCs w:val="24"/>
        </w:rPr>
        <w:t>J.G-H.</w:t>
      </w:r>
      <w:r w:rsidRPr="008201D1">
        <w:rPr>
          <w:rFonts w:ascii="Times New Roman" w:hAnsi="Times New Roman" w:cs="Times New Roman"/>
          <w:b/>
          <w:i/>
          <w:sz w:val="24"/>
          <w:szCs w:val="24"/>
        </w:rPr>
        <w:t xml:space="preserve"> </w:t>
      </w:r>
      <w:r w:rsidRPr="008201D1">
        <w:rPr>
          <w:rFonts w:ascii="Times New Roman" w:hAnsi="Times New Roman" w:cs="Times New Roman"/>
          <w:sz w:val="24"/>
          <w:szCs w:val="24"/>
        </w:rPr>
        <w:t>5 karet ročních vstupenek do zámeckého parku 2.000</w:t>
      </w:r>
    </w:p>
    <w:p w:rsidR="008201D1" w:rsidRDefault="008201D1" w:rsidP="008201D1">
      <w:pPr>
        <w:spacing w:line="276" w:lineRule="auto"/>
        <w:rPr>
          <w:rFonts w:ascii="Times New Roman" w:hAnsi="Times New Roman" w:cs="Times New Roman"/>
          <w:sz w:val="24"/>
          <w:szCs w:val="24"/>
        </w:rPr>
      </w:pPr>
      <w:r w:rsidRPr="008201D1">
        <w:rPr>
          <w:rFonts w:ascii="Times New Roman" w:hAnsi="Times New Roman" w:cs="Times New Roman"/>
          <w:sz w:val="24"/>
          <w:szCs w:val="24"/>
        </w:rPr>
        <w:t>Blatenská ryba spol. s r.o., Blatná - kapři 2.551 Kč</w:t>
      </w:r>
    </w:p>
    <w:p w:rsidR="008201D1" w:rsidRDefault="008201D1" w:rsidP="008201D1">
      <w:pPr>
        <w:spacing w:line="276" w:lineRule="auto"/>
        <w:rPr>
          <w:rFonts w:ascii="Times New Roman" w:hAnsi="Times New Roman" w:cs="Times New Roman"/>
          <w:sz w:val="24"/>
          <w:szCs w:val="24"/>
        </w:rPr>
      </w:pPr>
    </w:p>
    <w:p w:rsidR="008201D1" w:rsidRPr="008201D1" w:rsidRDefault="008201D1" w:rsidP="008201D1">
      <w:pPr>
        <w:spacing w:line="276" w:lineRule="auto"/>
        <w:rPr>
          <w:rFonts w:ascii="Times New Roman" w:hAnsi="Times New Roman" w:cs="Times New Roman"/>
          <w:b/>
          <w:i/>
          <w:sz w:val="24"/>
          <w:szCs w:val="24"/>
        </w:rPr>
      </w:pPr>
      <w:r w:rsidRPr="008201D1">
        <w:rPr>
          <w:rFonts w:ascii="Times New Roman" w:hAnsi="Times New Roman" w:cs="Times New Roman"/>
          <w:b/>
          <w:i/>
          <w:sz w:val="24"/>
          <w:szCs w:val="24"/>
        </w:rPr>
        <w:t>Veřejnoprávní smlouvy:</w:t>
      </w:r>
    </w:p>
    <w:p w:rsidR="008201D1" w:rsidRPr="008201D1" w:rsidRDefault="008201D1" w:rsidP="008201D1">
      <w:pPr>
        <w:spacing w:line="276" w:lineRule="auto"/>
        <w:rPr>
          <w:rFonts w:ascii="Times New Roman" w:hAnsi="Times New Roman" w:cs="Times New Roman"/>
          <w:sz w:val="24"/>
          <w:szCs w:val="24"/>
        </w:rPr>
      </w:pPr>
      <w:r w:rsidRPr="008201D1">
        <w:rPr>
          <w:rFonts w:ascii="Times New Roman" w:hAnsi="Times New Roman" w:cs="Times New Roman"/>
          <w:sz w:val="24"/>
          <w:szCs w:val="24"/>
        </w:rPr>
        <w:t>Město Kasejovice – 4.000 Kč</w:t>
      </w:r>
    </w:p>
    <w:p w:rsidR="008201D1" w:rsidRPr="008201D1" w:rsidRDefault="008201D1" w:rsidP="008201D1">
      <w:pPr>
        <w:spacing w:line="276" w:lineRule="auto"/>
        <w:rPr>
          <w:rFonts w:ascii="Times New Roman" w:hAnsi="Times New Roman" w:cs="Times New Roman"/>
          <w:sz w:val="24"/>
          <w:szCs w:val="24"/>
        </w:rPr>
      </w:pPr>
      <w:r w:rsidRPr="008201D1">
        <w:rPr>
          <w:rFonts w:ascii="Times New Roman" w:hAnsi="Times New Roman" w:cs="Times New Roman"/>
          <w:sz w:val="24"/>
          <w:szCs w:val="24"/>
        </w:rPr>
        <w:t>Obec Mladý Smolivec – 5.000 Kč</w:t>
      </w:r>
    </w:p>
    <w:p w:rsidR="008201D1" w:rsidRPr="008201D1" w:rsidRDefault="008201D1" w:rsidP="008201D1">
      <w:pPr>
        <w:spacing w:line="276" w:lineRule="auto"/>
        <w:rPr>
          <w:rFonts w:ascii="Times New Roman" w:hAnsi="Times New Roman" w:cs="Times New Roman"/>
          <w:sz w:val="24"/>
          <w:szCs w:val="24"/>
        </w:rPr>
      </w:pPr>
    </w:p>
    <w:p w:rsidR="008201D1" w:rsidRDefault="008201D1" w:rsidP="008201D1">
      <w:pPr>
        <w:rPr>
          <w:rFonts w:ascii="Times New Roman" w:hAnsi="Times New Roman" w:cs="Times New Roman"/>
          <w:sz w:val="24"/>
          <w:szCs w:val="24"/>
        </w:rPr>
      </w:pPr>
    </w:p>
    <w:p w:rsidR="008201D1" w:rsidRDefault="008201D1" w:rsidP="008201D1">
      <w:pPr>
        <w:rPr>
          <w:rFonts w:ascii="Times New Roman" w:hAnsi="Times New Roman" w:cs="Times New Roman"/>
          <w:sz w:val="24"/>
          <w:szCs w:val="24"/>
        </w:rPr>
      </w:pPr>
    </w:p>
    <w:p w:rsidR="008201D1" w:rsidRDefault="008201D1" w:rsidP="008201D1">
      <w:pPr>
        <w:rPr>
          <w:rFonts w:ascii="Times New Roman" w:hAnsi="Times New Roman" w:cs="Times New Roman"/>
          <w:sz w:val="24"/>
          <w:szCs w:val="24"/>
        </w:rPr>
      </w:pPr>
    </w:p>
    <w:p w:rsidR="008201D1" w:rsidRDefault="008201D1" w:rsidP="008201D1">
      <w:pPr>
        <w:rPr>
          <w:rFonts w:ascii="Times New Roman" w:hAnsi="Times New Roman" w:cs="Times New Roman"/>
          <w:sz w:val="24"/>
          <w:szCs w:val="24"/>
        </w:rPr>
      </w:pPr>
    </w:p>
    <w:p w:rsidR="008201D1" w:rsidRDefault="008201D1" w:rsidP="008201D1">
      <w:pPr>
        <w:rPr>
          <w:rFonts w:ascii="Times New Roman" w:hAnsi="Times New Roman" w:cs="Times New Roman"/>
          <w:sz w:val="24"/>
          <w:szCs w:val="24"/>
        </w:rPr>
      </w:pPr>
    </w:p>
    <w:p w:rsidR="008201D1" w:rsidRDefault="008201D1" w:rsidP="008201D1">
      <w:pPr>
        <w:rPr>
          <w:rFonts w:ascii="Times New Roman" w:hAnsi="Times New Roman" w:cs="Times New Roman"/>
          <w:sz w:val="24"/>
          <w:szCs w:val="24"/>
        </w:rPr>
      </w:pPr>
    </w:p>
    <w:p w:rsidR="008201D1" w:rsidRPr="008201D1" w:rsidRDefault="008201D1" w:rsidP="008201D1">
      <w:pPr>
        <w:rPr>
          <w:rFonts w:ascii="Times New Roman" w:hAnsi="Times New Roman" w:cs="Times New Roman"/>
          <w:b/>
          <w:sz w:val="24"/>
          <w:szCs w:val="24"/>
        </w:rPr>
      </w:pPr>
      <w:r w:rsidRPr="008201D1">
        <w:rPr>
          <w:rFonts w:ascii="Times New Roman" w:hAnsi="Times New Roman" w:cs="Times New Roman"/>
          <w:b/>
          <w:sz w:val="24"/>
          <w:szCs w:val="24"/>
        </w:rPr>
        <w:lastRenderedPageBreak/>
        <w:t>Stav fondů k 31.</w:t>
      </w:r>
      <w:r>
        <w:rPr>
          <w:rFonts w:ascii="Times New Roman" w:hAnsi="Times New Roman" w:cs="Times New Roman"/>
          <w:b/>
          <w:sz w:val="24"/>
          <w:szCs w:val="24"/>
        </w:rPr>
        <w:t xml:space="preserve"> </w:t>
      </w:r>
      <w:r w:rsidRPr="008201D1">
        <w:rPr>
          <w:rFonts w:ascii="Times New Roman" w:hAnsi="Times New Roman" w:cs="Times New Roman"/>
          <w:b/>
          <w:sz w:val="24"/>
          <w:szCs w:val="24"/>
        </w:rPr>
        <w:t>12.</w:t>
      </w:r>
      <w:r>
        <w:rPr>
          <w:rFonts w:ascii="Times New Roman" w:hAnsi="Times New Roman" w:cs="Times New Roman"/>
          <w:b/>
          <w:sz w:val="24"/>
          <w:szCs w:val="24"/>
        </w:rPr>
        <w:t xml:space="preserve"> </w:t>
      </w:r>
      <w:r w:rsidRPr="008201D1">
        <w:rPr>
          <w:rFonts w:ascii="Times New Roman" w:hAnsi="Times New Roman" w:cs="Times New Roman"/>
          <w:b/>
          <w:sz w:val="24"/>
          <w:szCs w:val="24"/>
        </w:rPr>
        <w:t>2019 v Kč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1371"/>
        <w:gridCol w:w="1371"/>
        <w:gridCol w:w="1371"/>
        <w:gridCol w:w="1206"/>
      </w:tblGrid>
      <w:tr w:rsidR="008201D1" w:rsidRPr="008201D1" w:rsidTr="008201D1">
        <w:trPr>
          <w:jc w:val="center"/>
        </w:trPr>
        <w:tc>
          <w:tcPr>
            <w:tcW w:w="0" w:type="auto"/>
            <w:vAlign w:val="center"/>
          </w:tcPr>
          <w:p w:rsidR="008201D1" w:rsidRPr="008201D1" w:rsidRDefault="008201D1" w:rsidP="00951696">
            <w:pPr>
              <w:spacing w:line="276" w:lineRule="auto"/>
              <w:rPr>
                <w:rFonts w:ascii="Times New Roman" w:hAnsi="Times New Roman" w:cs="Times New Roman"/>
                <w:b/>
              </w:rPr>
            </w:pPr>
            <w:r w:rsidRPr="008201D1">
              <w:rPr>
                <w:rFonts w:ascii="Times New Roman" w:hAnsi="Times New Roman" w:cs="Times New Roman"/>
                <w:b/>
              </w:rPr>
              <w:t>Název fondu</w:t>
            </w:r>
          </w:p>
        </w:tc>
        <w:tc>
          <w:tcPr>
            <w:tcW w:w="0" w:type="auto"/>
          </w:tcPr>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Počáteční</w:t>
            </w:r>
          </w:p>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 xml:space="preserve">zůstatek </w:t>
            </w:r>
          </w:p>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v Kč</w:t>
            </w:r>
          </w:p>
        </w:tc>
        <w:tc>
          <w:tcPr>
            <w:tcW w:w="0" w:type="auto"/>
          </w:tcPr>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 xml:space="preserve">Plnění </w:t>
            </w:r>
          </w:p>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v Kč</w:t>
            </w:r>
          </w:p>
        </w:tc>
        <w:tc>
          <w:tcPr>
            <w:tcW w:w="0" w:type="auto"/>
          </w:tcPr>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 xml:space="preserve">Čerpání </w:t>
            </w:r>
          </w:p>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v Kč</w:t>
            </w:r>
          </w:p>
        </w:tc>
        <w:tc>
          <w:tcPr>
            <w:tcW w:w="0" w:type="auto"/>
          </w:tcPr>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Konečný</w:t>
            </w:r>
          </w:p>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 xml:space="preserve">zůstatek </w:t>
            </w:r>
          </w:p>
          <w:p w:rsidR="008201D1" w:rsidRPr="008201D1" w:rsidRDefault="008201D1" w:rsidP="00951696">
            <w:pPr>
              <w:spacing w:line="276" w:lineRule="auto"/>
              <w:jc w:val="center"/>
              <w:rPr>
                <w:rFonts w:ascii="Times New Roman" w:hAnsi="Times New Roman" w:cs="Times New Roman"/>
                <w:b/>
              </w:rPr>
            </w:pPr>
            <w:r w:rsidRPr="008201D1">
              <w:rPr>
                <w:rFonts w:ascii="Times New Roman" w:hAnsi="Times New Roman" w:cs="Times New Roman"/>
                <w:b/>
              </w:rPr>
              <w:t>v Kč</w:t>
            </w:r>
          </w:p>
        </w:tc>
      </w:tr>
      <w:tr w:rsidR="008201D1" w:rsidRPr="008201D1" w:rsidTr="008201D1">
        <w:trPr>
          <w:jc w:val="center"/>
        </w:trPr>
        <w:tc>
          <w:tcPr>
            <w:tcW w:w="0" w:type="auto"/>
          </w:tcPr>
          <w:p w:rsidR="008201D1" w:rsidRPr="008201D1" w:rsidRDefault="008201D1" w:rsidP="00951696">
            <w:pPr>
              <w:spacing w:line="276" w:lineRule="auto"/>
              <w:rPr>
                <w:rFonts w:ascii="Times New Roman" w:hAnsi="Times New Roman" w:cs="Times New Roman"/>
              </w:rPr>
            </w:pPr>
            <w:r w:rsidRPr="008201D1">
              <w:rPr>
                <w:rFonts w:ascii="Times New Roman" w:hAnsi="Times New Roman" w:cs="Times New Roman"/>
              </w:rPr>
              <w:t>Fond odměn</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367.813,65</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0,00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120.000,00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247.813,65</w:t>
            </w:r>
          </w:p>
        </w:tc>
      </w:tr>
      <w:tr w:rsidR="008201D1" w:rsidRPr="008201D1" w:rsidTr="008201D1">
        <w:trPr>
          <w:jc w:val="center"/>
        </w:trPr>
        <w:tc>
          <w:tcPr>
            <w:tcW w:w="0" w:type="auto"/>
          </w:tcPr>
          <w:p w:rsidR="008201D1" w:rsidRPr="008201D1" w:rsidRDefault="008201D1" w:rsidP="00951696">
            <w:pPr>
              <w:spacing w:line="276" w:lineRule="auto"/>
              <w:rPr>
                <w:rFonts w:ascii="Times New Roman" w:hAnsi="Times New Roman" w:cs="Times New Roman"/>
              </w:rPr>
            </w:pPr>
            <w:r w:rsidRPr="008201D1">
              <w:rPr>
                <w:rFonts w:ascii="Times New Roman" w:hAnsi="Times New Roman" w:cs="Times New Roman"/>
              </w:rPr>
              <w:t>FKSP</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668.881,86</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482.644,22</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309.746,00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841.780,08</w:t>
            </w:r>
          </w:p>
        </w:tc>
      </w:tr>
      <w:tr w:rsidR="008201D1" w:rsidRPr="008201D1" w:rsidTr="008201D1">
        <w:trPr>
          <w:jc w:val="center"/>
        </w:trPr>
        <w:tc>
          <w:tcPr>
            <w:tcW w:w="0" w:type="auto"/>
          </w:tcPr>
          <w:p w:rsidR="008201D1" w:rsidRPr="008201D1" w:rsidRDefault="008201D1" w:rsidP="00951696">
            <w:pPr>
              <w:spacing w:line="276" w:lineRule="auto"/>
              <w:rPr>
                <w:rFonts w:ascii="Times New Roman" w:hAnsi="Times New Roman" w:cs="Times New Roman"/>
              </w:rPr>
            </w:pPr>
            <w:r w:rsidRPr="008201D1">
              <w:rPr>
                <w:rFonts w:ascii="Times New Roman" w:hAnsi="Times New Roman" w:cs="Times New Roman"/>
              </w:rPr>
              <w:t>Fond rezervní</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246.468,11</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31.870,49</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0,00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278.338,60</w:t>
            </w:r>
          </w:p>
        </w:tc>
      </w:tr>
      <w:tr w:rsidR="008201D1" w:rsidRPr="008201D1" w:rsidTr="008201D1">
        <w:trPr>
          <w:jc w:val="center"/>
        </w:trPr>
        <w:tc>
          <w:tcPr>
            <w:tcW w:w="0" w:type="auto"/>
          </w:tcPr>
          <w:p w:rsidR="008201D1" w:rsidRPr="008201D1" w:rsidRDefault="008201D1" w:rsidP="00951696">
            <w:pPr>
              <w:spacing w:line="276" w:lineRule="auto"/>
              <w:rPr>
                <w:rFonts w:ascii="Times New Roman" w:hAnsi="Times New Roman" w:cs="Times New Roman"/>
              </w:rPr>
            </w:pPr>
            <w:r w:rsidRPr="008201D1">
              <w:rPr>
                <w:rFonts w:ascii="Times New Roman" w:hAnsi="Times New Roman" w:cs="Times New Roman"/>
              </w:rPr>
              <w:t>Fond rezervní z </w:t>
            </w:r>
            <w:proofErr w:type="spellStart"/>
            <w:r w:rsidRPr="008201D1">
              <w:rPr>
                <w:rFonts w:ascii="Times New Roman" w:hAnsi="Times New Roman" w:cs="Times New Roman"/>
              </w:rPr>
              <w:t>ost</w:t>
            </w:r>
            <w:proofErr w:type="spellEnd"/>
            <w:r w:rsidRPr="008201D1">
              <w:rPr>
                <w:rFonts w:ascii="Times New Roman" w:hAnsi="Times New Roman" w:cs="Times New Roman"/>
              </w:rPr>
              <w:t xml:space="preserve">. </w:t>
            </w:r>
            <w:proofErr w:type="gramStart"/>
            <w:r w:rsidRPr="008201D1">
              <w:rPr>
                <w:rFonts w:ascii="Times New Roman" w:hAnsi="Times New Roman" w:cs="Times New Roman"/>
              </w:rPr>
              <w:t>titulů</w:t>
            </w:r>
            <w:proofErr w:type="gramEnd"/>
            <w:r w:rsidRPr="008201D1">
              <w:rPr>
                <w:rFonts w:ascii="Times New Roman" w:hAnsi="Times New Roman" w:cs="Times New Roman"/>
              </w:rPr>
              <w:t xml:space="preserve"> (dary)</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399.657,25</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217.365,00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35.851,00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581.171,25</w:t>
            </w:r>
          </w:p>
        </w:tc>
      </w:tr>
      <w:tr w:rsidR="008201D1" w:rsidRPr="008201D1" w:rsidTr="008201D1">
        <w:trPr>
          <w:jc w:val="center"/>
        </w:trPr>
        <w:tc>
          <w:tcPr>
            <w:tcW w:w="0" w:type="auto"/>
          </w:tcPr>
          <w:p w:rsidR="008201D1" w:rsidRPr="008201D1" w:rsidRDefault="008201D1" w:rsidP="00951696">
            <w:pPr>
              <w:spacing w:line="276" w:lineRule="auto"/>
              <w:rPr>
                <w:rFonts w:ascii="Times New Roman" w:hAnsi="Times New Roman" w:cs="Times New Roman"/>
              </w:rPr>
            </w:pPr>
            <w:r w:rsidRPr="008201D1">
              <w:rPr>
                <w:rFonts w:ascii="Times New Roman" w:hAnsi="Times New Roman" w:cs="Times New Roman"/>
              </w:rPr>
              <w:t>Fond investic</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1.283.786,10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2.028.292,00</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2.610.623,53</w:t>
            </w:r>
          </w:p>
        </w:tc>
        <w:tc>
          <w:tcPr>
            <w:tcW w:w="0" w:type="auto"/>
          </w:tcPr>
          <w:p w:rsidR="008201D1" w:rsidRPr="008201D1" w:rsidRDefault="008201D1" w:rsidP="00951696">
            <w:pPr>
              <w:spacing w:line="276" w:lineRule="auto"/>
              <w:jc w:val="right"/>
              <w:rPr>
                <w:rFonts w:ascii="Times New Roman" w:hAnsi="Times New Roman" w:cs="Times New Roman"/>
              </w:rPr>
            </w:pPr>
            <w:r w:rsidRPr="008201D1">
              <w:rPr>
                <w:rFonts w:ascii="Times New Roman" w:hAnsi="Times New Roman" w:cs="Times New Roman"/>
              </w:rPr>
              <w:t>701.454,57</w:t>
            </w:r>
          </w:p>
        </w:tc>
      </w:tr>
    </w:tbl>
    <w:p w:rsidR="008201D1" w:rsidRDefault="008201D1" w:rsidP="008201D1">
      <w:pPr>
        <w:rPr>
          <w:rFonts w:ascii="Times New Roman" w:hAnsi="Times New Roman" w:cs="Times New Roman"/>
          <w:sz w:val="24"/>
          <w:szCs w:val="24"/>
        </w:rPr>
      </w:pPr>
    </w:p>
    <w:p w:rsidR="008201D1" w:rsidRPr="008201D1" w:rsidRDefault="008201D1" w:rsidP="008201D1">
      <w:pPr>
        <w:widowControl w:val="0"/>
        <w:numPr>
          <w:ilvl w:val="0"/>
          <w:numId w:val="2"/>
        </w:numPr>
        <w:suppressAutoHyphens/>
        <w:spacing w:after="0" w:line="276" w:lineRule="auto"/>
        <w:ind w:left="426" w:hanging="426"/>
        <w:rPr>
          <w:rFonts w:ascii="Times New Roman" w:hAnsi="Times New Roman" w:cs="Times New Roman"/>
          <w:sz w:val="24"/>
          <w:szCs w:val="24"/>
        </w:rPr>
      </w:pPr>
      <w:r w:rsidRPr="008201D1">
        <w:rPr>
          <w:rFonts w:ascii="Times New Roman" w:hAnsi="Times New Roman" w:cs="Times New Roman"/>
          <w:b/>
          <w:sz w:val="24"/>
          <w:szCs w:val="24"/>
        </w:rPr>
        <w:t>Fond kulturních a sociálních potřeb</w:t>
      </w:r>
    </w:p>
    <w:p w:rsidR="008201D1" w:rsidRPr="008201D1" w:rsidRDefault="008201D1" w:rsidP="008201D1">
      <w:pPr>
        <w:widowControl w:val="0"/>
        <w:numPr>
          <w:ilvl w:val="1"/>
          <w:numId w:val="3"/>
        </w:numPr>
        <w:suppressAutoHyphens/>
        <w:spacing w:after="0" w:line="276" w:lineRule="auto"/>
        <w:rPr>
          <w:rFonts w:ascii="Times New Roman" w:hAnsi="Times New Roman" w:cs="Times New Roman"/>
          <w:sz w:val="24"/>
          <w:szCs w:val="24"/>
        </w:rPr>
      </w:pPr>
      <w:r w:rsidRPr="008201D1">
        <w:rPr>
          <w:rFonts w:ascii="Times New Roman" w:hAnsi="Times New Roman" w:cs="Times New Roman"/>
          <w:sz w:val="24"/>
          <w:szCs w:val="24"/>
        </w:rPr>
        <w:t>tvorba ve výši 2% z  objemu nákladů zúčtovaných na platy a náhrady platů</w:t>
      </w:r>
    </w:p>
    <w:p w:rsidR="008201D1" w:rsidRDefault="008201D1" w:rsidP="008201D1">
      <w:pPr>
        <w:widowControl w:val="0"/>
        <w:numPr>
          <w:ilvl w:val="1"/>
          <w:numId w:val="3"/>
        </w:numPr>
        <w:suppressAutoHyphens/>
        <w:spacing w:after="0" w:line="276" w:lineRule="auto"/>
        <w:rPr>
          <w:rFonts w:ascii="Times New Roman" w:hAnsi="Times New Roman" w:cs="Times New Roman"/>
          <w:sz w:val="24"/>
          <w:szCs w:val="24"/>
        </w:rPr>
      </w:pPr>
      <w:r w:rsidRPr="008201D1">
        <w:rPr>
          <w:rFonts w:ascii="Times New Roman" w:hAnsi="Times New Roman" w:cs="Times New Roman"/>
          <w:sz w:val="24"/>
          <w:szCs w:val="24"/>
        </w:rPr>
        <w:t>čerpání na závodní stravování, na penzijní připojištění, věcné dary při životním j</w:t>
      </w:r>
      <w:r w:rsidR="00316416">
        <w:rPr>
          <w:rFonts w:ascii="Times New Roman" w:hAnsi="Times New Roman" w:cs="Times New Roman"/>
          <w:sz w:val="24"/>
          <w:szCs w:val="24"/>
        </w:rPr>
        <w:t xml:space="preserve">ubileu, penzijní připojištění, </w:t>
      </w:r>
      <w:r w:rsidRPr="008201D1">
        <w:rPr>
          <w:rFonts w:ascii="Times New Roman" w:hAnsi="Times New Roman" w:cs="Times New Roman"/>
          <w:sz w:val="24"/>
          <w:szCs w:val="24"/>
        </w:rPr>
        <w:t>kulturní a sportovní akce pro zaměstnance.</w:t>
      </w:r>
    </w:p>
    <w:p w:rsidR="008201D1" w:rsidRPr="008201D1" w:rsidRDefault="008201D1" w:rsidP="008201D1">
      <w:pPr>
        <w:widowControl w:val="0"/>
        <w:suppressAutoHyphens/>
        <w:spacing w:after="0" w:line="276" w:lineRule="auto"/>
        <w:ind w:left="1788"/>
        <w:rPr>
          <w:rFonts w:ascii="Times New Roman" w:hAnsi="Times New Roman" w:cs="Times New Roman"/>
          <w:sz w:val="24"/>
          <w:szCs w:val="24"/>
        </w:rPr>
      </w:pPr>
    </w:p>
    <w:p w:rsidR="008201D1" w:rsidRPr="008201D1" w:rsidRDefault="008201D1" w:rsidP="008201D1">
      <w:pPr>
        <w:widowControl w:val="0"/>
        <w:numPr>
          <w:ilvl w:val="0"/>
          <w:numId w:val="2"/>
        </w:numPr>
        <w:suppressAutoHyphens/>
        <w:spacing w:after="0" w:line="276" w:lineRule="auto"/>
        <w:ind w:left="426" w:hanging="426"/>
        <w:rPr>
          <w:rFonts w:ascii="Times New Roman" w:hAnsi="Times New Roman" w:cs="Times New Roman"/>
          <w:sz w:val="24"/>
          <w:szCs w:val="24"/>
        </w:rPr>
      </w:pPr>
      <w:r w:rsidRPr="008201D1">
        <w:rPr>
          <w:rFonts w:ascii="Times New Roman" w:hAnsi="Times New Roman" w:cs="Times New Roman"/>
          <w:b/>
          <w:sz w:val="24"/>
          <w:szCs w:val="24"/>
        </w:rPr>
        <w:t>Fond rezervní z ostatních titulů</w:t>
      </w:r>
    </w:p>
    <w:p w:rsidR="008201D1" w:rsidRPr="008201D1" w:rsidRDefault="008201D1" w:rsidP="008201D1">
      <w:pPr>
        <w:pStyle w:val="Odstavecseseznamem"/>
        <w:numPr>
          <w:ilvl w:val="1"/>
          <w:numId w:val="4"/>
        </w:numPr>
        <w:spacing w:line="276" w:lineRule="auto"/>
      </w:pPr>
      <w:r w:rsidRPr="008201D1">
        <w:t>tvorba ve výši</w:t>
      </w:r>
      <w:r w:rsidRPr="008201D1">
        <w:rPr>
          <w:b/>
        </w:rPr>
        <w:t xml:space="preserve"> </w:t>
      </w:r>
      <w:r w:rsidRPr="008201D1">
        <w:t>schválených přijatých finančních darů</w:t>
      </w:r>
    </w:p>
    <w:p w:rsidR="008201D1" w:rsidRDefault="008201D1" w:rsidP="008201D1">
      <w:pPr>
        <w:pStyle w:val="Odstavecseseznamem"/>
        <w:numPr>
          <w:ilvl w:val="1"/>
          <w:numId w:val="4"/>
        </w:numPr>
        <w:spacing w:line="276" w:lineRule="auto"/>
      </w:pPr>
      <w:r w:rsidRPr="008201D1">
        <w:t>čerpání na nákup kávovaru a na matrace antidekubitní s potahem.</w:t>
      </w:r>
    </w:p>
    <w:p w:rsidR="008201D1" w:rsidRPr="008201D1" w:rsidRDefault="008201D1" w:rsidP="008201D1">
      <w:pPr>
        <w:pStyle w:val="Odstavecseseznamem"/>
        <w:spacing w:line="276" w:lineRule="auto"/>
        <w:ind w:left="1788"/>
      </w:pPr>
    </w:p>
    <w:p w:rsidR="008201D1" w:rsidRPr="008201D1" w:rsidRDefault="008201D1" w:rsidP="008201D1">
      <w:pPr>
        <w:widowControl w:val="0"/>
        <w:numPr>
          <w:ilvl w:val="0"/>
          <w:numId w:val="2"/>
        </w:numPr>
        <w:suppressAutoHyphens/>
        <w:spacing w:after="0" w:line="276" w:lineRule="auto"/>
        <w:ind w:left="426" w:hanging="426"/>
        <w:rPr>
          <w:rFonts w:ascii="Times New Roman" w:hAnsi="Times New Roman" w:cs="Times New Roman"/>
          <w:sz w:val="24"/>
          <w:szCs w:val="24"/>
        </w:rPr>
      </w:pPr>
      <w:r w:rsidRPr="008201D1">
        <w:rPr>
          <w:rFonts w:ascii="Times New Roman" w:hAnsi="Times New Roman" w:cs="Times New Roman"/>
          <w:b/>
          <w:sz w:val="24"/>
          <w:szCs w:val="24"/>
        </w:rPr>
        <w:t>Fond investic</w:t>
      </w:r>
    </w:p>
    <w:p w:rsidR="008201D1" w:rsidRPr="008201D1" w:rsidRDefault="008201D1" w:rsidP="008201D1">
      <w:pPr>
        <w:widowControl w:val="0"/>
        <w:numPr>
          <w:ilvl w:val="1"/>
          <w:numId w:val="5"/>
        </w:numPr>
        <w:suppressAutoHyphens/>
        <w:spacing w:after="0" w:line="276" w:lineRule="auto"/>
        <w:rPr>
          <w:rFonts w:ascii="Times New Roman" w:hAnsi="Times New Roman" w:cs="Times New Roman"/>
          <w:sz w:val="24"/>
          <w:szCs w:val="24"/>
        </w:rPr>
      </w:pPr>
      <w:r w:rsidRPr="008201D1">
        <w:rPr>
          <w:rFonts w:ascii="Times New Roman" w:hAnsi="Times New Roman" w:cs="Times New Roman"/>
          <w:sz w:val="24"/>
          <w:szCs w:val="24"/>
        </w:rPr>
        <w:t xml:space="preserve">tvorba ve výši odpisů dle odpisového plánu a prodeje auta </w:t>
      </w:r>
      <w:proofErr w:type="spellStart"/>
      <w:r w:rsidRPr="008201D1">
        <w:rPr>
          <w:rFonts w:ascii="Times New Roman" w:hAnsi="Times New Roman" w:cs="Times New Roman"/>
          <w:sz w:val="24"/>
          <w:szCs w:val="24"/>
        </w:rPr>
        <w:t>Citröen</w:t>
      </w:r>
      <w:proofErr w:type="spellEnd"/>
      <w:r w:rsidRPr="008201D1">
        <w:rPr>
          <w:rFonts w:ascii="Times New Roman" w:hAnsi="Times New Roman" w:cs="Times New Roman"/>
          <w:sz w:val="24"/>
          <w:szCs w:val="24"/>
        </w:rPr>
        <w:t xml:space="preserve"> </w:t>
      </w:r>
      <w:proofErr w:type="spellStart"/>
      <w:r w:rsidRPr="008201D1">
        <w:rPr>
          <w:rFonts w:ascii="Times New Roman" w:hAnsi="Times New Roman" w:cs="Times New Roman"/>
          <w:sz w:val="24"/>
          <w:szCs w:val="24"/>
        </w:rPr>
        <w:t>Berlingo</w:t>
      </w:r>
      <w:proofErr w:type="spellEnd"/>
      <w:r w:rsidRPr="008201D1">
        <w:rPr>
          <w:rFonts w:ascii="Times New Roman" w:hAnsi="Times New Roman" w:cs="Times New Roman"/>
          <w:sz w:val="24"/>
          <w:szCs w:val="24"/>
        </w:rPr>
        <w:t xml:space="preserve">, </w:t>
      </w:r>
    </w:p>
    <w:p w:rsidR="008201D1" w:rsidRDefault="008201D1" w:rsidP="008201D1">
      <w:pPr>
        <w:widowControl w:val="0"/>
        <w:numPr>
          <w:ilvl w:val="1"/>
          <w:numId w:val="5"/>
        </w:numPr>
        <w:suppressAutoHyphens/>
        <w:spacing w:after="0" w:line="276" w:lineRule="auto"/>
        <w:rPr>
          <w:rFonts w:ascii="Times New Roman" w:hAnsi="Times New Roman" w:cs="Times New Roman"/>
          <w:sz w:val="24"/>
          <w:szCs w:val="24"/>
        </w:rPr>
      </w:pPr>
      <w:r w:rsidRPr="008201D1">
        <w:rPr>
          <w:rFonts w:ascii="Times New Roman" w:hAnsi="Times New Roman" w:cs="Times New Roman"/>
          <w:sz w:val="24"/>
          <w:szCs w:val="24"/>
        </w:rPr>
        <w:t xml:space="preserve">čerpání – pořízení automobilu Dacia </w:t>
      </w:r>
      <w:proofErr w:type="spellStart"/>
      <w:r w:rsidRPr="008201D1">
        <w:rPr>
          <w:rFonts w:ascii="Times New Roman" w:hAnsi="Times New Roman" w:cs="Times New Roman"/>
          <w:sz w:val="24"/>
          <w:szCs w:val="24"/>
        </w:rPr>
        <w:t>Dokker</w:t>
      </w:r>
      <w:proofErr w:type="spellEnd"/>
      <w:r w:rsidRPr="008201D1">
        <w:rPr>
          <w:rFonts w:ascii="Times New Roman" w:hAnsi="Times New Roman" w:cs="Times New Roman"/>
          <w:sz w:val="24"/>
          <w:szCs w:val="24"/>
        </w:rPr>
        <w:t xml:space="preserve">, modernizace výtahu, pořízení signalizačního systému </w:t>
      </w:r>
      <w:proofErr w:type="spellStart"/>
      <w:r w:rsidRPr="008201D1">
        <w:rPr>
          <w:rFonts w:ascii="Times New Roman" w:hAnsi="Times New Roman" w:cs="Times New Roman"/>
          <w:sz w:val="24"/>
          <w:szCs w:val="24"/>
        </w:rPr>
        <w:t>HelpCare</w:t>
      </w:r>
      <w:proofErr w:type="spellEnd"/>
      <w:r w:rsidRPr="008201D1">
        <w:rPr>
          <w:rFonts w:ascii="Times New Roman" w:hAnsi="Times New Roman" w:cs="Times New Roman"/>
          <w:sz w:val="24"/>
          <w:szCs w:val="24"/>
        </w:rPr>
        <w:t>, malování pokojů klientů, nákup pračky Primus a nařízený odvod odpisů zřizovateli.</w:t>
      </w: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rPr>
          <w:rFonts w:ascii="Times New Roman" w:hAnsi="Times New Roman" w:cs="Times New Roman"/>
          <w:sz w:val="24"/>
          <w:szCs w:val="24"/>
        </w:rPr>
      </w:pPr>
    </w:p>
    <w:p w:rsidR="008201D1" w:rsidRDefault="008201D1" w:rsidP="008201D1">
      <w:pPr>
        <w:widowControl w:val="0"/>
        <w:suppressAutoHyphens/>
        <w:spacing w:after="0" w:line="276" w:lineRule="auto"/>
        <w:jc w:val="center"/>
        <w:rPr>
          <w:rFonts w:ascii="Times New Roman" w:hAnsi="Times New Roman" w:cs="Times New Roman"/>
          <w:sz w:val="24"/>
          <w:szCs w:val="24"/>
        </w:rPr>
      </w:pPr>
      <w:r>
        <w:rPr>
          <w:noProof/>
          <w:lang w:eastAsia="cs-CZ"/>
        </w:rPr>
        <w:lastRenderedPageBreak/>
        <w:drawing>
          <wp:inline distT="0" distB="0" distL="0" distR="0" wp14:anchorId="757AEAFA" wp14:editId="07957847">
            <wp:extent cx="6076950" cy="4288790"/>
            <wp:effectExtent l="0" t="0" r="0" b="16510"/>
            <wp:docPr id="49" name="Graf 4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5D1DD5D3-FFB1-4427-BEAC-7E34A7CC55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8201D1" w:rsidRPr="008201D1" w:rsidRDefault="008201D1" w:rsidP="008201D1">
      <w:pPr>
        <w:widowControl w:val="0"/>
        <w:suppressAutoHyphens/>
        <w:spacing w:after="0" w:line="276" w:lineRule="auto"/>
        <w:rPr>
          <w:rFonts w:ascii="Times New Roman" w:hAnsi="Times New Roman" w:cs="Times New Roman"/>
          <w:sz w:val="24"/>
          <w:szCs w:val="24"/>
        </w:rPr>
      </w:pPr>
    </w:p>
    <w:p w:rsidR="008201D1" w:rsidRPr="00943BDC" w:rsidRDefault="008201D1" w:rsidP="008201D1">
      <w:pPr>
        <w:rPr>
          <w:rFonts w:ascii="Times New Roman" w:hAnsi="Times New Roman" w:cs="Times New Roman"/>
          <w:sz w:val="24"/>
          <w:szCs w:val="24"/>
        </w:rPr>
      </w:pPr>
      <w:r>
        <w:rPr>
          <w:noProof/>
          <w:lang w:eastAsia="cs-CZ"/>
        </w:rPr>
        <w:drawing>
          <wp:inline distT="0" distB="0" distL="0" distR="0" wp14:anchorId="2253A1DE" wp14:editId="7D757B31">
            <wp:extent cx="6131560" cy="4171950"/>
            <wp:effectExtent l="0" t="0" r="2540" b="0"/>
            <wp:docPr id="50" name="Graf 5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C94125C1-29BC-4969-AFD9-9D128D4907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sectPr w:rsidR="008201D1" w:rsidRPr="00943BDC" w:rsidSect="0040234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BDC" w:rsidRDefault="00943BDC" w:rsidP="00C946AA">
      <w:pPr>
        <w:spacing w:after="0" w:line="240" w:lineRule="auto"/>
      </w:pPr>
      <w:r>
        <w:separator/>
      </w:r>
    </w:p>
  </w:endnote>
  <w:endnote w:type="continuationSeparator" w:id="0">
    <w:p w:rsidR="00943BDC" w:rsidRDefault="00943BDC" w:rsidP="00C9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BDC" w:rsidRDefault="00943BDC" w:rsidP="00C946AA">
      <w:pPr>
        <w:spacing w:after="0" w:line="240" w:lineRule="auto"/>
      </w:pPr>
      <w:r>
        <w:separator/>
      </w:r>
    </w:p>
  </w:footnote>
  <w:footnote w:type="continuationSeparator" w:id="0">
    <w:p w:rsidR="00943BDC" w:rsidRDefault="00943BDC" w:rsidP="00C94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BDC" w:rsidRDefault="00943BDC" w:rsidP="00943BDC">
    <w:pPr>
      <w:pStyle w:val="Zhlav1"/>
      <w:tabs>
        <w:tab w:val="left" w:pos="538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699D"/>
    <w:multiLevelType w:val="hybridMultilevel"/>
    <w:tmpl w:val="16062E10"/>
    <w:lvl w:ilvl="0" w:tplc="0405000D">
      <w:start w:val="1"/>
      <w:numFmt w:val="bullet"/>
      <w:lvlText w:val=""/>
      <w:lvlJc w:val="left"/>
      <w:pPr>
        <w:ind w:left="1068" w:hanging="360"/>
      </w:pPr>
      <w:rPr>
        <w:rFonts w:ascii="Wingdings" w:hAnsi="Wingdings" w:hint="default"/>
      </w:rPr>
    </w:lvl>
    <w:lvl w:ilvl="1" w:tplc="0405000B">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15:restartNumberingAfterBreak="0">
    <w:nsid w:val="2FB8547B"/>
    <w:multiLevelType w:val="hybridMultilevel"/>
    <w:tmpl w:val="5A18D5B6"/>
    <w:lvl w:ilvl="0" w:tplc="0405000D">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5C1136D5"/>
    <w:multiLevelType w:val="hybridMultilevel"/>
    <w:tmpl w:val="B24C9D5C"/>
    <w:lvl w:ilvl="0" w:tplc="0405000D">
      <w:start w:val="1"/>
      <w:numFmt w:val="bullet"/>
      <w:lvlText w:val=""/>
      <w:lvlJc w:val="left"/>
      <w:pPr>
        <w:ind w:left="1068" w:hanging="360"/>
      </w:pPr>
      <w:rPr>
        <w:rFonts w:ascii="Wingdings" w:hAnsi="Wingdings" w:hint="default"/>
      </w:rPr>
    </w:lvl>
    <w:lvl w:ilvl="1" w:tplc="0405000B">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5E232CAD"/>
    <w:multiLevelType w:val="hybridMultilevel"/>
    <w:tmpl w:val="412EEBE2"/>
    <w:lvl w:ilvl="0" w:tplc="0405000D">
      <w:start w:val="1"/>
      <w:numFmt w:val="bullet"/>
      <w:lvlText w:val=""/>
      <w:lvlJc w:val="left"/>
      <w:pPr>
        <w:ind w:left="1068" w:hanging="360"/>
      </w:pPr>
      <w:rPr>
        <w:rFonts w:ascii="Wingdings" w:hAnsi="Wingdings" w:hint="default"/>
      </w:rPr>
    </w:lvl>
    <w:lvl w:ilvl="1" w:tplc="0405000B">
      <w:start w:val="1"/>
      <w:numFmt w:val="bullet"/>
      <w:lvlText w:val=""/>
      <w:lvlJc w:val="left"/>
      <w:pPr>
        <w:ind w:left="1788" w:hanging="360"/>
      </w:pPr>
      <w:rPr>
        <w:rFonts w:ascii="Wingdings" w:hAnsi="Wingdings"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67086581"/>
    <w:multiLevelType w:val="hybridMultilevel"/>
    <w:tmpl w:val="BDF27E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6AA"/>
    <w:rsid w:val="00004924"/>
    <w:rsid w:val="00046D9D"/>
    <w:rsid w:val="00070987"/>
    <w:rsid w:val="000A2133"/>
    <w:rsid w:val="000A334E"/>
    <w:rsid w:val="000A4EB1"/>
    <w:rsid w:val="000B1D8B"/>
    <w:rsid w:val="000B2F12"/>
    <w:rsid w:val="0011340F"/>
    <w:rsid w:val="00123138"/>
    <w:rsid w:val="00141840"/>
    <w:rsid w:val="00165B69"/>
    <w:rsid w:val="00206E6F"/>
    <w:rsid w:val="00210600"/>
    <w:rsid w:val="00253A69"/>
    <w:rsid w:val="00263616"/>
    <w:rsid w:val="002956AB"/>
    <w:rsid w:val="002B38AE"/>
    <w:rsid w:val="002E7A60"/>
    <w:rsid w:val="003117CB"/>
    <w:rsid w:val="00316416"/>
    <w:rsid w:val="00324437"/>
    <w:rsid w:val="00341627"/>
    <w:rsid w:val="003606AD"/>
    <w:rsid w:val="0037235A"/>
    <w:rsid w:val="003901D4"/>
    <w:rsid w:val="00402346"/>
    <w:rsid w:val="00422B5A"/>
    <w:rsid w:val="004D1942"/>
    <w:rsid w:val="004E5428"/>
    <w:rsid w:val="004F03DD"/>
    <w:rsid w:val="005B3DE2"/>
    <w:rsid w:val="005C4C3D"/>
    <w:rsid w:val="006253E3"/>
    <w:rsid w:val="00687F0C"/>
    <w:rsid w:val="006F3C35"/>
    <w:rsid w:val="006F3E7D"/>
    <w:rsid w:val="007008D2"/>
    <w:rsid w:val="008201D1"/>
    <w:rsid w:val="00877598"/>
    <w:rsid w:val="00904F94"/>
    <w:rsid w:val="00943BDC"/>
    <w:rsid w:val="00990877"/>
    <w:rsid w:val="009D0ADA"/>
    <w:rsid w:val="00AC03DD"/>
    <w:rsid w:val="00AC3460"/>
    <w:rsid w:val="00AD0683"/>
    <w:rsid w:val="00B03752"/>
    <w:rsid w:val="00B12683"/>
    <w:rsid w:val="00B36D77"/>
    <w:rsid w:val="00B93E22"/>
    <w:rsid w:val="00B94084"/>
    <w:rsid w:val="00C75CD2"/>
    <w:rsid w:val="00C946AA"/>
    <w:rsid w:val="00CF4011"/>
    <w:rsid w:val="00D3393C"/>
    <w:rsid w:val="00D53D41"/>
    <w:rsid w:val="00D90A1C"/>
    <w:rsid w:val="00DD5571"/>
    <w:rsid w:val="00E11F0D"/>
    <w:rsid w:val="00E15915"/>
    <w:rsid w:val="00E243F7"/>
    <w:rsid w:val="00E631EA"/>
    <w:rsid w:val="00EC55C2"/>
    <w:rsid w:val="00ED13EB"/>
    <w:rsid w:val="00ED650B"/>
    <w:rsid w:val="00F1755E"/>
    <w:rsid w:val="00F33138"/>
    <w:rsid w:val="00F82F08"/>
    <w:rsid w:val="00FA2356"/>
    <w:rsid w:val="00FE74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B6697-8A64-4D56-BE3A-AF57554E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hlav1">
    <w:name w:val="Záhlaví1"/>
    <w:basedOn w:val="Normln"/>
    <w:link w:val="Znakzhlav"/>
    <w:uiPriority w:val="99"/>
    <w:qFormat/>
    <w:rsid w:val="00C946AA"/>
    <w:pPr>
      <w:spacing w:after="380" w:line="240" w:lineRule="auto"/>
    </w:pPr>
    <w:rPr>
      <w:color w:val="404040" w:themeColor="text1" w:themeTint="BF"/>
      <w:sz w:val="20"/>
      <w:szCs w:val="20"/>
      <w:lang w:eastAsia="cs-CZ"/>
    </w:rPr>
  </w:style>
  <w:style w:type="character" w:customStyle="1" w:styleId="Znakzhlav">
    <w:name w:val="Znak záhlaví"/>
    <w:basedOn w:val="Standardnpsmoodstavce"/>
    <w:link w:val="Zhlav1"/>
    <w:uiPriority w:val="99"/>
    <w:rsid w:val="00C946AA"/>
    <w:rPr>
      <w:color w:val="404040" w:themeColor="text1" w:themeTint="BF"/>
      <w:sz w:val="20"/>
      <w:szCs w:val="20"/>
      <w:lang w:eastAsia="cs-CZ"/>
    </w:rPr>
  </w:style>
  <w:style w:type="paragraph" w:styleId="Zhlav">
    <w:name w:val="header"/>
    <w:basedOn w:val="Normln"/>
    <w:link w:val="ZhlavChar"/>
    <w:uiPriority w:val="99"/>
    <w:unhideWhenUsed/>
    <w:rsid w:val="00C946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46AA"/>
  </w:style>
  <w:style w:type="paragraph" w:styleId="Zpat">
    <w:name w:val="footer"/>
    <w:basedOn w:val="Normln"/>
    <w:link w:val="ZpatChar"/>
    <w:uiPriority w:val="99"/>
    <w:unhideWhenUsed/>
    <w:rsid w:val="00C946AA"/>
    <w:pPr>
      <w:tabs>
        <w:tab w:val="center" w:pos="4536"/>
        <w:tab w:val="right" w:pos="9072"/>
      </w:tabs>
      <w:spacing w:after="0" w:line="240" w:lineRule="auto"/>
    </w:pPr>
  </w:style>
  <w:style w:type="character" w:customStyle="1" w:styleId="ZpatChar">
    <w:name w:val="Zápatí Char"/>
    <w:basedOn w:val="Standardnpsmoodstavce"/>
    <w:link w:val="Zpat"/>
    <w:uiPriority w:val="99"/>
    <w:rsid w:val="00C946AA"/>
  </w:style>
  <w:style w:type="paragraph" w:styleId="Normlnweb">
    <w:name w:val="Normal (Web)"/>
    <w:basedOn w:val="Normln"/>
    <w:uiPriority w:val="99"/>
    <w:semiHidden/>
    <w:unhideWhenUsed/>
    <w:rsid w:val="0087759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77598"/>
    <w:rPr>
      <w:b/>
      <w:bCs/>
    </w:rPr>
  </w:style>
  <w:style w:type="table" w:styleId="Mkatabulky">
    <w:name w:val="Table Grid"/>
    <w:basedOn w:val="Normlntabulka"/>
    <w:uiPriority w:val="59"/>
    <w:rsid w:val="00CF4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201D1"/>
    <w:pPr>
      <w:widowControl w:val="0"/>
      <w:suppressAutoHyphens/>
      <w:spacing w:after="0" w:line="240" w:lineRule="auto"/>
      <w:ind w:left="720"/>
      <w:contextualSpacing/>
    </w:pPr>
    <w:rPr>
      <w:rFonts w:ascii="Times New Roman" w:eastAsia="Lucida Sans Unicode" w:hAnsi="Times New Roman" w:cs="Times New Roman"/>
      <w:sz w:val="24"/>
      <w:szCs w:val="24"/>
      <w:lang w:eastAsia="zh-CN"/>
    </w:rPr>
  </w:style>
  <w:style w:type="paragraph" w:styleId="Textbubliny">
    <w:name w:val="Balloon Text"/>
    <w:basedOn w:val="Normln"/>
    <w:link w:val="TextbublinyChar"/>
    <w:uiPriority w:val="99"/>
    <w:semiHidden/>
    <w:unhideWhenUsed/>
    <w:rsid w:val="00AC03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C0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683">
      <w:bodyDiv w:val="1"/>
      <w:marLeft w:val="0"/>
      <w:marRight w:val="0"/>
      <w:marTop w:val="0"/>
      <w:marBottom w:val="0"/>
      <w:divBdr>
        <w:top w:val="none" w:sz="0" w:space="0" w:color="auto"/>
        <w:left w:val="none" w:sz="0" w:space="0" w:color="auto"/>
        <w:bottom w:val="none" w:sz="0" w:space="0" w:color="auto"/>
        <w:right w:val="none" w:sz="0" w:space="0" w:color="auto"/>
      </w:divBdr>
    </w:div>
    <w:div w:id="1058941297">
      <w:bodyDiv w:val="1"/>
      <w:marLeft w:val="0"/>
      <w:marRight w:val="0"/>
      <w:marTop w:val="0"/>
      <w:marBottom w:val="0"/>
      <w:divBdr>
        <w:top w:val="none" w:sz="0" w:space="0" w:color="auto"/>
        <w:left w:val="none" w:sz="0" w:space="0" w:color="auto"/>
        <w:bottom w:val="none" w:sz="0" w:space="0" w:color="auto"/>
        <w:right w:val="none" w:sz="0" w:space="0" w:color="auto"/>
      </w:divBdr>
    </w:div>
    <w:div w:id="1102724232">
      <w:bodyDiv w:val="1"/>
      <w:marLeft w:val="0"/>
      <w:marRight w:val="0"/>
      <w:marTop w:val="0"/>
      <w:marBottom w:val="0"/>
      <w:divBdr>
        <w:top w:val="none" w:sz="0" w:space="0" w:color="auto"/>
        <w:left w:val="none" w:sz="0" w:space="0" w:color="auto"/>
        <w:bottom w:val="none" w:sz="0" w:space="0" w:color="auto"/>
        <w:right w:val="none" w:sz="0" w:space="0" w:color="auto"/>
      </w:divBdr>
    </w:div>
    <w:div w:id="1441336050">
      <w:bodyDiv w:val="1"/>
      <w:marLeft w:val="0"/>
      <w:marRight w:val="0"/>
      <w:marTop w:val="0"/>
      <w:marBottom w:val="0"/>
      <w:divBdr>
        <w:top w:val="none" w:sz="0" w:space="0" w:color="auto"/>
        <w:left w:val="none" w:sz="0" w:space="0" w:color="auto"/>
        <w:bottom w:val="none" w:sz="0" w:space="0" w:color="auto"/>
        <w:right w:val="none" w:sz="0" w:space="0" w:color="auto"/>
      </w:divBdr>
      <w:divsChild>
        <w:div w:id="33620771">
          <w:marLeft w:val="0"/>
          <w:marRight w:val="0"/>
          <w:marTop w:val="0"/>
          <w:marBottom w:val="0"/>
          <w:divBdr>
            <w:top w:val="none" w:sz="0" w:space="0" w:color="auto"/>
            <w:left w:val="none" w:sz="0" w:space="0" w:color="auto"/>
            <w:bottom w:val="none" w:sz="0" w:space="0" w:color="auto"/>
            <w:right w:val="none" w:sz="0" w:space="0" w:color="auto"/>
          </w:divBdr>
        </w:div>
        <w:div w:id="1668169649">
          <w:marLeft w:val="0"/>
          <w:marRight w:val="0"/>
          <w:marTop w:val="0"/>
          <w:marBottom w:val="0"/>
          <w:divBdr>
            <w:top w:val="none" w:sz="0" w:space="0" w:color="auto"/>
            <w:left w:val="none" w:sz="0" w:space="0" w:color="auto"/>
            <w:bottom w:val="none" w:sz="0" w:space="0" w:color="auto"/>
            <w:right w:val="none" w:sz="0" w:space="0" w:color="auto"/>
          </w:divBdr>
        </w:div>
        <w:div w:id="1908690103">
          <w:marLeft w:val="0"/>
          <w:marRight w:val="0"/>
          <w:marTop w:val="0"/>
          <w:marBottom w:val="0"/>
          <w:divBdr>
            <w:top w:val="none" w:sz="0" w:space="0" w:color="auto"/>
            <w:left w:val="none" w:sz="0" w:space="0" w:color="auto"/>
            <w:bottom w:val="none" w:sz="0" w:space="0" w:color="auto"/>
            <w:right w:val="none" w:sz="0" w:space="0" w:color="auto"/>
          </w:divBdr>
        </w:div>
        <w:div w:id="530799158">
          <w:marLeft w:val="0"/>
          <w:marRight w:val="0"/>
          <w:marTop w:val="0"/>
          <w:marBottom w:val="0"/>
          <w:divBdr>
            <w:top w:val="none" w:sz="0" w:space="0" w:color="auto"/>
            <w:left w:val="none" w:sz="0" w:space="0" w:color="auto"/>
            <w:bottom w:val="none" w:sz="0" w:space="0" w:color="auto"/>
            <w:right w:val="none" w:sz="0" w:space="0" w:color="auto"/>
          </w:divBdr>
        </w:div>
        <w:div w:id="2015645667">
          <w:marLeft w:val="0"/>
          <w:marRight w:val="0"/>
          <w:marTop w:val="0"/>
          <w:marBottom w:val="0"/>
          <w:divBdr>
            <w:top w:val="none" w:sz="0" w:space="0" w:color="auto"/>
            <w:left w:val="none" w:sz="0" w:space="0" w:color="auto"/>
            <w:bottom w:val="none" w:sz="0" w:space="0" w:color="auto"/>
            <w:right w:val="none" w:sz="0" w:space="0" w:color="auto"/>
          </w:divBdr>
        </w:div>
        <w:div w:id="1717462298">
          <w:marLeft w:val="0"/>
          <w:marRight w:val="0"/>
          <w:marTop w:val="0"/>
          <w:marBottom w:val="0"/>
          <w:divBdr>
            <w:top w:val="none" w:sz="0" w:space="0" w:color="auto"/>
            <w:left w:val="none" w:sz="0" w:space="0" w:color="auto"/>
            <w:bottom w:val="none" w:sz="0" w:space="0" w:color="auto"/>
            <w:right w:val="none" w:sz="0" w:space="0" w:color="auto"/>
          </w:divBdr>
        </w:div>
        <w:div w:id="1087386948">
          <w:marLeft w:val="0"/>
          <w:marRight w:val="0"/>
          <w:marTop w:val="0"/>
          <w:marBottom w:val="0"/>
          <w:divBdr>
            <w:top w:val="none" w:sz="0" w:space="0" w:color="auto"/>
            <w:left w:val="none" w:sz="0" w:space="0" w:color="auto"/>
            <w:bottom w:val="none" w:sz="0" w:space="0" w:color="auto"/>
            <w:right w:val="none" w:sz="0" w:space="0" w:color="auto"/>
          </w:divBdr>
        </w:div>
        <w:div w:id="2127380976">
          <w:marLeft w:val="0"/>
          <w:marRight w:val="0"/>
          <w:marTop w:val="0"/>
          <w:marBottom w:val="0"/>
          <w:divBdr>
            <w:top w:val="none" w:sz="0" w:space="0" w:color="auto"/>
            <w:left w:val="none" w:sz="0" w:space="0" w:color="auto"/>
            <w:bottom w:val="none" w:sz="0" w:space="0" w:color="auto"/>
            <w:right w:val="none" w:sz="0" w:space="0" w:color="auto"/>
          </w:divBdr>
        </w:div>
        <w:div w:id="502858397">
          <w:marLeft w:val="0"/>
          <w:marRight w:val="0"/>
          <w:marTop w:val="0"/>
          <w:marBottom w:val="0"/>
          <w:divBdr>
            <w:top w:val="none" w:sz="0" w:space="0" w:color="auto"/>
            <w:left w:val="none" w:sz="0" w:space="0" w:color="auto"/>
            <w:bottom w:val="none" w:sz="0" w:space="0" w:color="auto"/>
            <w:right w:val="none" w:sz="0" w:space="0" w:color="auto"/>
          </w:divBdr>
        </w:div>
        <w:div w:id="1466117575">
          <w:marLeft w:val="0"/>
          <w:marRight w:val="0"/>
          <w:marTop w:val="0"/>
          <w:marBottom w:val="0"/>
          <w:divBdr>
            <w:top w:val="none" w:sz="0" w:space="0" w:color="auto"/>
            <w:left w:val="none" w:sz="0" w:space="0" w:color="auto"/>
            <w:bottom w:val="none" w:sz="0" w:space="0" w:color="auto"/>
            <w:right w:val="none" w:sz="0" w:space="0" w:color="auto"/>
          </w:divBdr>
        </w:div>
        <w:div w:id="1319305684">
          <w:marLeft w:val="0"/>
          <w:marRight w:val="0"/>
          <w:marTop w:val="0"/>
          <w:marBottom w:val="0"/>
          <w:divBdr>
            <w:top w:val="none" w:sz="0" w:space="0" w:color="auto"/>
            <w:left w:val="none" w:sz="0" w:space="0" w:color="auto"/>
            <w:bottom w:val="none" w:sz="0" w:space="0" w:color="auto"/>
            <w:right w:val="none" w:sz="0" w:space="0" w:color="auto"/>
          </w:divBdr>
        </w:div>
        <w:div w:id="927883195">
          <w:marLeft w:val="0"/>
          <w:marRight w:val="0"/>
          <w:marTop w:val="0"/>
          <w:marBottom w:val="0"/>
          <w:divBdr>
            <w:top w:val="none" w:sz="0" w:space="0" w:color="auto"/>
            <w:left w:val="none" w:sz="0" w:space="0" w:color="auto"/>
            <w:bottom w:val="none" w:sz="0" w:space="0" w:color="auto"/>
            <w:right w:val="none" w:sz="0" w:space="0" w:color="auto"/>
          </w:divBdr>
        </w:div>
        <w:div w:id="726419577">
          <w:marLeft w:val="0"/>
          <w:marRight w:val="0"/>
          <w:marTop w:val="0"/>
          <w:marBottom w:val="0"/>
          <w:divBdr>
            <w:top w:val="none" w:sz="0" w:space="0" w:color="auto"/>
            <w:left w:val="none" w:sz="0" w:space="0" w:color="auto"/>
            <w:bottom w:val="none" w:sz="0" w:space="0" w:color="auto"/>
            <w:right w:val="none" w:sz="0" w:space="0" w:color="auto"/>
          </w:divBdr>
        </w:div>
        <w:div w:id="1613197776">
          <w:marLeft w:val="0"/>
          <w:marRight w:val="0"/>
          <w:marTop w:val="0"/>
          <w:marBottom w:val="0"/>
          <w:divBdr>
            <w:top w:val="none" w:sz="0" w:space="0" w:color="auto"/>
            <w:left w:val="none" w:sz="0" w:space="0" w:color="auto"/>
            <w:bottom w:val="none" w:sz="0" w:space="0" w:color="auto"/>
            <w:right w:val="none" w:sz="0" w:space="0" w:color="auto"/>
          </w:divBdr>
        </w:div>
      </w:divsChild>
    </w:div>
    <w:div w:id="170813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ovblatna.cz" TargetMode="External"/><Relationship Id="rId13" Type="http://schemas.openxmlformats.org/officeDocument/2006/relationships/hyperlink" Target="mailto:socialni@domovblatna.cz" TargetMode="External"/><Relationship Id="rId18" Type="http://schemas.openxmlformats.org/officeDocument/2006/relationships/hyperlink" Target="mailto:sklad.dsblatna@seznam.cz" TargetMode="External"/><Relationship Id="rId26" Type="http://schemas.openxmlformats.org/officeDocument/2006/relationships/image" Target="media/image3.png"/><Relationship Id="rId39" Type="http://schemas.openxmlformats.org/officeDocument/2006/relationships/chart" Target="charts/chart13.xml"/><Relationship Id="rId3" Type="http://schemas.openxmlformats.org/officeDocument/2006/relationships/settings" Target="settings.xml"/><Relationship Id="rId21" Type="http://schemas.openxmlformats.org/officeDocument/2006/relationships/hyperlink" Target="mailto:pecovatelska.dsblatna@seznam.cz" TargetMode="External"/><Relationship Id="rId34" Type="http://schemas.openxmlformats.org/officeDocument/2006/relationships/chart" Target="charts/chart8.xml"/><Relationship Id="rId42" Type="http://schemas.openxmlformats.org/officeDocument/2006/relationships/chart" Target="charts/chart16.xml"/><Relationship Id="rId7" Type="http://schemas.openxmlformats.org/officeDocument/2006/relationships/image" Target="media/image1.jpeg"/><Relationship Id="rId12" Type="http://schemas.openxmlformats.org/officeDocument/2006/relationships/hyperlink" Target="mailto:vrchnisestra@domovblatna.cz" TargetMode="External"/><Relationship Id="rId17" Type="http://schemas.openxmlformats.org/officeDocument/2006/relationships/hyperlink" Target="mailto:sklad.dsblatna@seznam.cz" TargetMode="External"/><Relationship Id="rId25" Type="http://schemas.openxmlformats.org/officeDocument/2006/relationships/image" Target="media/image2.png"/><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konom@domovblatna.cz" TargetMode="External"/><Relationship Id="rId20" Type="http://schemas.openxmlformats.org/officeDocument/2006/relationships/hyperlink" Target="mailto:udrzba.dsblatna@seznam.cz"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cialni@domovblatna.cz" TargetMode="External"/><Relationship Id="rId24" Type="http://schemas.openxmlformats.org/officeDocument/2006/relationships/hyperlink" Target="http://www.znackakvality.info/"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ekonom@domovblatna.cz" TargetMode="External"/><Relationship Id="rId23" Type="http://schemas.openxmlformats.org/officeDocument/2006/relationships/chart" Target="charts/chart1.xm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hyperlink" Target="http://eur-lex.europa.eu/legal-content/CS/TXT/PDF/?uri=CELEX:32016R0679&amp;from=EN" TargetMode="External"/><Relationship Id="rId19" Type="http://schemas.openxmlformats.org/officeDocument/2006/relationships/hyperlink" Target="mailto:udrzba.dsblatna@seznam.cz"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socialni@domovblatna.cz" TargetMode="External"/><Relationship Id="rId22" Type="http://schemas.openxmlformats.org/officeDocument/2006/relationships/hyperlink" Target="mailto:pecovatelska.dsblatna@seznam.cz" TargetMode="External"/><Relationship Id="rId27" Type="http://schemas.openxmlformats.org/officeDocument/2006/relationships/image" Target="media/image4.png"/><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4.xml"/><Relationship Id="rId1" Type="http://schemas.microsoft.com/office/2011/relationships/chartStyle" Target="style4.xml"/></Relationships>
</file>

<file path=word/charts/_rels/chart1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6.xml"/><Relationship Id="rId1" Type="http://schemas.microsoft.com/office/2011/relationships/chartStyle" Target="style6.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7.xml"/><Relationship Id="rId1" Type="http://schemas.microsoft.com/office/2011/relationships/chartStyle" Target="style7.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8.xml"/><Relationship Id="rId1" Type="http://schemas.microsoft.com/office/2011/relationships/chartStyle" Target="style8.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9.xml"/><Relationship Id="rId1" Type="http://schemas.microsoft.com/office/2011/relationships/chartStyle" Target="style9.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noFill/>
              </a:ln>
              <a:effectLst/>
            </c:spPr>
          </c:dPt>
          <c:dPt>
            <c:idx val="2"/>
            <c:invertIfNegative val="0"/>
            <c:bubble3D val="0"/>
            <c:spPr>
              <a:solidFill>
                <a:schemeClr val="accent6">
                  <a:lumMod val="60000"/>
                  <a:lumOff val="4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List1!$A$1:$A$3</c:f>
              <c:strCache>
                <c:ptCount val="3"/>
                <c:pt idx="0">
                  <c:v>ano</c:v>
                </c:pt>
                <c:pt idx="1">
                  <c:v>ne, chybí jim</c:v>
                </c:pt>
                <c:pt idx="2">
                  <c:v>nevím</c:v>
                </c:pt>
              </c:strCache>
            </c:strRef>
          </c:cat>
          <c:val>
            <c:numRef>
              <c:f>List1!$B$1:$B$3</c:f>
              <c:numCache>
                <c:formatCode>General</c:formatCode>
                <c:ptCount val="3"/>
                <c:pt idx="0">
                  <c:v>37</c:v>
                </c:pt>
                <c:pt idx="1">
                  <c:v>1</c:v>
                </c:pt>
                <c:pt idx="2">
                  <c:v>3</c:v>
                </c:pt>
              </c:numCache>
            </c:numRef>
          </c:val>
        </c:ser>
        <c:dLbls>
          <c:showLegendKey val="0"/>
          <c:showVal val="0"/>
          <c:showCatName val="0"/>
          <c:showSerName val="0"/>
          <c:showPercent val="0"/>
          <c:showBubbleSize val="0"/>
        </c:dLbls>
        <c:gapWidth val="219"/>
        <c:overlap val="-27"/>
        <c:axId val="324228704"/>
        <c:axId val="324227136"/>
      </c:barChart>
      <c:catAx>
        <c:axId val="32422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4227136"/>
        <c:crosses val="autoZero"/>
        <c:auto val="1"/>
        <c:lblAlgn val="ctr"/>
        <c:lblOffset val="100"/>
        <c:noMultiLvlLbl val="0"/>
      </c:catAx>
      <c:valAx>
        <c:axId val="324227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42287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lineChart>
        <c:grouping val="standard"/>
        <c:varyColors val="0"/>
        <c:ser>
          <c:idx val="1"/>
          <c:order val="0"/>
          <c:spPr>
            <a:ln w="28575" cap="rnd">
              <a:solidFill>
                <a:schemeClr val="accent1">
                  <a:tint val="77000"/>
                </a:schemeClr>
              </a:solidFill>
              <a:round/>
            </a:ln>
            <a:effectLst/>
          </c:spPr>
          <c:marker>
            <c:symbol val="circle"/>
            <c:size val="5"/>
            <c:spPr>
              <a:solidFill>
                <a:srgbClr val="FF5050"/>
              </a:solidFill>
              <a:ln w="19050">
                <a:solidFill>
                  <a:schemeClr val="accent1">
                    <a:tint val="77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List1!$A$1:$A$5</c:f>
              <c:numCache>
                <c:formatCode>General</c:formatCode>
                <c:ptCount val="5"/>
                <c:pt idx="0">
                  <c:v>2015</c:v>
                </c:pt>
                <c:pt idx="1">
                  <c:v>2016</c:v>
                </c:pt>
                <c:pt idx="2">
                  <c:v>2017</c:v>
                </c:pt>
                <c:pt idx="3">
                  <c:v>2018</c:v>
                </c:pt>
                <c:pt idx="4">
                  <c:v>2019</c:v>
                </c:pt>
              </c:numCache>
            </c:numRef>
          </c:cat>
          <c:val>
            <c:numRef>
              <c:f>List1!$B$1:$B$5</c:f>
              <c:numCache>
                <c:formatCode>General</c:formatCode>
                <c:ptCount val="5"/>
                <c:pt idx="0">
                  <c:v>90</c:v>
                </c:pt>
                <c:pt idx="1">
                  <c:v>87</c:v>
                </c:pt>
                <c:pt idx="2">
                  <c:v>94</c:v>
                </c:pt>
                <c:pt idx="3">
                  <c:v>107</c:v>
                </c:pt>
                <c:pt idx="4">
                  <c:v>100</c:v>
                </c:pt>
              </c:numCache>
            </c:numRef>
          </c:val>
          <c:smooth val="0"/>
        </c:ser>
        <c:dLbls>
          <c:showLegendKey val="0"/>
          <c:showVal val="0"/>
          <c:showCatName val="0"/>
          <c:showSerName val="0"/>
          <c:showPercent val="0"/>
          <c:showBubbleSize val="0"/>
        </c:dLbls>
        <c:marker val="1"/>
        <c:smooth val="0"/>
        <c:axId val="327255016"/>
        <c:axId val="327258544"/>
      </c:lineChart>
      <c:catAx>
        <c:axId val="327255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8544"/>
        <c:crosses val="autoZero"/>
        <c:auto val="1"/>
        <c:lblAlgn val="ctr"/>
        <c:lblOffset val="100"/>
        <c:noMultiLvlLbl val="0"/>
      </c:catAx>
      <c:valAx>
        <c:axId val="3272585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5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a:solidFill>
                  <a:sysClr val="windowText" lastClr="000000"/>
                </a:solidFill>
                <a:latin typeface="Times New Roman" panose="02020603050405020304" pitchFamily="18" charset="0"/>
                <a:cs typeface="Times New Roman" panose="02020603050405020304" pitchFamily="18" charset="0"/>
              </a:rPr>
              <a:t>Věkové rozmezí klientů za rok 2019</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bar"/>
        <c:grouping val="clustered"/>
        <c:varyColors val="0"/>
        <c:ser>
          <c:idx val="0"/>
          <c:order val="0"/>
          <c:spPr>
            <a:solidFill>
              <a:schemeClr val="accent1"/>
            </a:solidFill>
            <a:ln>
              <a:noFill/>
            </a:ln>
            <a:effectLst/>
          </c:spPr>
          <c:invertIfNegative val="0"/>
          <c:cat>
            <c:strRef>
              <c:f>'[výročka - grafy.xlsx]List1'!$A$29:$A$38</c:f>
              <c:strCache>
                <c:ptCount val="10"/>
                <c:pt idx="0">
                  <c:v>méně než 50 let</c:v>
                </c:pt>
                <c:pt idx="1">
                  <c:v>50 - 54 let</c:v>
                </c:pt>
                <c:pt idx="2">
                  <c:v>60 - 64 let</c:v>
                </c:pt>
                <c:pt idx="3">
                  <c:v>65 - 69 let</c:v>
                </c:pt>
                <c:pt idx="4">
                  <c:v>70 - 74 let</c:v>
                </c:pt>
                <c:pt idx="5">
                  <c:v>75 - 79 let</c:v>
                </c:pt>
                <c:pt idx="6">
                  <c:v>80 - 84 let</c:v>
                </c:pt>
                <c:pt idx="7">
                  <c:v>85 - 89 let</c:v>
                </c:pt>
                <c:pt idx="8">
                  <c:v>90 - 94 let</c:v>
                </c:pt>
                <c:pt idx="9">
                  <c:v>95 a více let</c:v>
                </c:pt>
              </c:strCache>
            </c:strRef>
          </c:cat>
          <c:val>
            <c:numRef>
              <c:f>'[výročka - grafy.xlsx]List1'!$B$29:$B$38</c:f>
              <c:numCache>
                <c:formatCode>General</c:formatCode>
                <c:ptCount val="10"/>
              </c:numCache>
            </c:numRef>
          </c:val>
        </c:ser>
        <c:ser>
          <c:idx val="1"/>
          <c:order val="1"/>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'[výročka - grafy.xlsx]List1'!$A$29:$A$38</c:f>
              <c:strCache>
                <c:ptCount val="10"/>
                <c:pt idx="0">
                  <c:v>méně než 50 let</c:v>
                </c:pt>
                <c:pt idx="1">
                  <c:v>50 - 54 let</c:v>
                </c:pt>
                <c:pt idx="2">
                  <c:v>60 - 64 let</c:v>
                </c:pt>
                <c:pt idx="3">
                  <c:v>65 - 69 let</c:v>
                </c:pt>
                <c:pt idx="4">
                  <c:v>70 - 74 let</c:v>
                </c:pt>
                <c:pt idx="5">
                  <c:v>75 - 79 let</c:v>
                </c:pt>
                <c:pt idx="6">
                  <c:v>80 - 84 let</c:v>
                </c:pt>
                <c:pt idx="7">
                  <c:v>85 - 89 let</c:v>
                </c:pt>
                <c:pt idx="8">
                  <c:v>90 - 94 let</c:v>
                </c:pt>
                <c:pt idx="9">
                  <c:v>95 a více let</c:v>
                </c:pt>
              </c:strCache>
            </c:strRef>
          </c:cat>
          <c:val>
            <c:numRef>
              <c:f>'[výročka - grafy.xlsx]List1'!$C$29:$C$38</c:f>
              <c:numCache>
                <c:formatCode>0</c:formatCode>
                <c:ptCount val="10"/>
                <c:pt idx="0">
                  <c:v>1</c:v>
                </c:pt>
                <c:pt idx="1">
                  <c:v>2</c:v>
                </c:pt>
                <c:pt idx="2">
                  <c:v>3</c:v>
                </c:pt>
                <c:pt idx="3">
                  <c:v>4</c:v>
                </c:pt>
                <c:pt idx="4">
                  <c:v>14</c:v>
                </c:pt>
                <c:pt idx="5">
                  <c:v>22</c:v>
                </c:pt>
                <c:pt idx="6">
                  <c:v>36</c:v>
                </c:pt>
                <c:pt idx="7">
                  <c:v>43</c:v>
                </c:pt>
                <c:pt idx="8">
                  <c:v>16</c:v>
                </c:pt>
                <c:pt idx="9">
                  <c:v>2</c:v>
                </c:pt>
              </c:numCache>
            </c:numRef>
          </c:val>
        </c:ser>
        <c:dLbls>
          <c:showLegendKey val="0"/>
          <c:showVal val="0"/>
          <c:showCatName val="0"/>
          <c:showSerName val="0"/>
          <c:showPercent val="0"/>
          <c:showBubbleSize val="0"/>
        </c:dLbls>
        <c:gapWidth val="182"/>
        <c:axId val="327255408"/>
        <c:axId val="327255800"/>
      </c:barChart>
      <c:catAx>
        <c:axId val="327255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5800"/>
        <c:crosses val="autoZero"/>
        <c:auto val="1"/>
        <c:lblAlgn val="ctr"/>
        <c:lblOffset val="100"/>
        <c:noMultiLvlLbl val="0"/>
      </c:catAx>
      <c:valAx>
        <c:axId val="3272558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5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sz="1400">
                <a:solidFill>
                  <a:sysClr val="windowText" lastClr="000000"/>
                </a:solidFill>
                <a:latin typeface="Times New Roman" panose="02020603050405020304" pitchFamily="18" charset="0"/>
                <a:cs typeface="Times New Roman" panose="02020603050405020304" pitchFamily="18" charset="0"/>
              </a:rPr>
              <a:t>Věkové rozmezí v %</a:t>
            </a:r>
          </a:p>
        </c:rich>
      </c:tx>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rgbClr val="7030A0"/>
              </a:soli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dPt>
          <c:dPt>
            <c:idx val="6"/>
            <c:bubble3D val="0"/>
            <c:spPr>
              <a:solidFill>
                <a:srgbClr val="FF66FF"/>
              </a:solidFill>
              <a:ln>
                <a:noFill/>
              </a:ln>
              <a:effectLst/>
            </c:spPr>
          </c:dPt>
          <c:dPt>
            <c:idx val="7"/>
            <c:bubble3D val="0"/>
            <c:spPr>
              <a:solidFill>
                <a:schemeClr val="accent2">
                  <a:lumMod val="60000"/>
                  <a:lumOff val="40000"/>
                </a:schemeClr>
              </a:solidFill>
              <a:ln>
                <a:noFill/>
              </a:ln>
              <a:effectLst/>
            </c:spPr>
          </c:dPt>
          <c:dPt>
            <c:idx val="8"/>
            <c:bubble3D val="0"/>
            <c:spPr>
              <a:solidFill>
                <a:srgbClr val="66FF99"/>
              </a:solidFill>
              <a:ln>
                <a:noFill/>
              </a:ln>
              <a:effectLst/>
            </c:spPr>
          </c:dPt>
          <c:dPt>
            <c:idx val="9"/>
            <c:bubble3D val="0"/>
            <c:spPr>
              <a:solidFill>
                <a:schemeClr val="accent1">
                  <a:lumMod val="60000"/>
                  <a:lumOff val="40000"/>
                </a:schemeClr>
              </a:solidFill>
              <a:ln>
                <a:noFill/>
              </a:ln>
              <a:effectLst/>
            </c:spPr>
          </c:dPt>
          <c:dLbls>
            <c:dLbl>
              <c:idx val="0"/>
              <c:layout>
                <c:manualLayout>
                  <c:x val="-1.0806918365974111E-3"/>
                  <c:y val="2.2258368181285248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1.7906319402382395E-2"/>
                  <c:y val="1.6019508622637887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3.46557641833233E-2"/>
                  <c:y val="1.3744692094768291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6.0319536980954179E-2"/>
                  <c:y val="1.850545191322477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6.3680734048825793E-2"/>
                  <c:y val="6.8077538145201635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2.4393837138202642E-2"/>
                  <c:y val="-3.7929801713151384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10447581265331199"/>
                  <c:y val="-0.1058372042619817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7"/>
              <c:layout>
                <c:manualLayout>
                  <c:x val="-1.5485126859142608E-2"/>
                  <c:y val="-7.6099810440361626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8"/>
              <c:layout>
                <c:manualLayout>
                  <c:x val="-3.1754155730533682E-3"/>
                  <c:y val="-8.7693205016039655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9"/>
              <c:layout>
                <c:manualLayout>
                  <c:x val="-3.5447876707719289E-2"/>
                  <c:y val="1.1299529828770673E-2"/>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ct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'[výročka - grafy.xlsx]List1'!$A$81:$A$90</c:f>
              <c:strCache>
                <c:ptCount val="10"/>
                <c:pt idx="0">
                  <c:v>méně než 50</c:v>
                </c:pt>
                <c:pt idx="1">
                  <c:v>50 - 54 let</c:v>
                </c:pt>
                <c:pt idx="2">
                  <c:v>60 - 64 let</c:v>
                </c:pt>
                <c:pt idx="3">
                  <c:v>65 - 69 let</c:v>
                </c:pt>
                <c:pt idx="4">
                  <c:v>70 - 74 let</c:v>
                </c:pt>
                <c:pt idx="5">
                  <c:v>75 - 79 let</c:v>
                </c:pt>
                <c:pt idx="6">
                  <c:v>80 - 84 let</c:v>
                </c:pt>
                <c:pt idx="7">
                  <c:v>85 - 89 let</c:v>
                </c:pt>
                <c:pt idx="8">
                  <c:v>90 - 94 let</c:v>
                </c:pt>
                <c:pt idx="9">
                  <c:v>95 a více let</c:v>
                </c:pt>
              </c:strCache>
            </c:strRef>
          </c:cat>
          <c:val>
            <c:numRef>
              <c:f>'[výročka - grafy.xlsx]List1'!$B$81:$B$90</c:f>
              <c:numCache>
                <c:formatCode>General</c:formatCode>
                <c:ptCount val="10"/>
                <c:pt idx="0">
                  <c:v>1</c:v>
                </c:pt>
                <c:pt idx="1">
                  <c:v>2</c:v>
                </c:pt>
                <c:pt idx="2">
                  <c:v>3</c:v>
                </c:pt>
                <c:pt idx="3">
                  <c:v>4</c:v>
                </c:pt>
                <c:pt idx="4">
                  <c:v>14</c:v>
                </c:pt>
                <c:pt idx="5">
                  <c:v>22</c:v>
                </c:pt>
                <c:pt idx="6">
                  <c:v>36</c:v>
                </c:pt>
                <c:pt idx="7">
                  <c:v>43</c:v>
                </c:pt>
                <c:pt idx="8">
                  <c:v>16</c:v>
                </c:pt>
                <c:pt idx="9">
                  <c:v>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cs-CZ" sz="1400" b="0" u="sng">
                <a:solidFill>
                  <a:sysClr val="windowText" lastClr="000000"/>
                </a:solidFill>
                <a:latin typeface="Times New Roman" panose="02020603050405020304" pitchFamily="18" charset="0"/>
                <a:cs typeface="Times New Roman" panose="02020603050405020304" pitchFamily="18" charset="0"/>
              </a:rPr>
              <a:t>Počet</a:t>
            </a:r>
            <a:r>
              <a:rPr lang="cs-CZ" sz="1400" b="0" u="sng" baseline="0">
                <a:solidFill>
                  <a:sysClr val="windowText" lastClr="000000"/>
                </a:solidFill>
                <a:latin typeface="Times New Roman" panose="02020603050405020304" pitchFamily="18" charset="0"/>
                <a:cs typeface="Times New Roman" panose="02020603050405020304" pitchFamily="18" charset="0"/>
              </a:rPr>
              <a:t> hodin strávených u klientů</a:t>
            </a:r>
            <a:endParaRPr lang="cs-CZ" sz="1400" b="0" u="sng">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spPr>
            <a:solidFill>
              <a:schemeClr val="accent1"/>
            </a:soli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cs-CZ"/>
                </a:p>
              </c:txPr>
              <c:dLblPos val="outEnd"/>
              <c:showLegendKey val="1"/>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dLblPos val="outEnd"/>
            <c:showLegendKey val="1"/>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'[výročka - grafy.xlsx]List1'!$A$4:$A$8</c:f>
              <c:numCache>
                <c:formatCode>General</c:formatCode>
                <c:ptCount val="5"/>
                <c:pt idx="0">
                  <c:v>2019</c:v>
                </c:pt>
                <c:pt idx="1">
                  <c:v>2018</c:v>
                </c:pt>
                <c:pt idx="2">
                  <c:v>2017</c:v>
                </c:pt>
                <c:pt idx="3">
                  <c:v>2016</c:v>
                </c:pt>
                <c:pt idx="4">
                  <c:v>2015</c:v>
                </c:pt>
              </c:numCache>
            </c:numRef>
          </c:cat>
          <c:val>
            <c:numRef>
              <c:f>'[výročka - grafy.xlsx]List1'!$B$4:$B$8</c:f>
              <c:numCache>
                <c:formatCode>General</c:formatCode>
                <c:ptCount val="5"/>
                <c:pt idx="0">
                  <c:v>1458</c:v>
                </c:pt>
                <c:pt idx="1">
                  <c:v>1187</c:v>
                </c:pt>
                <c:pt idx="2">
                  <c:v>1049</c:v>
                </c:pt>
                <c:pt idx="3">
                  <c:v>1081</c:v>
                </c:pt>
                <c:pt idx="4">
                  <c:v>800</c:v>
                </c:pt>
              </c:numCache>
            </c:numRef>
          </c:val>
          <c:extLst xmlns:c16r2="http://schemas.microsoft.com/office/drawing/2015/06/chart">
            <c:ext xmlns:c16="http://schemas.microsoft.com/office/drawing/2014/chart" uri="{C3380CC4-5D6E-409C-BE32-E72D297353CC}">
              <c16:uniqueId val="{00000000-3211-4115-9702-69A9F88ECE79}"/>
            </c:ext>
          </c:extLst>
        </c:ser>
        <c:dLbls>
          <c:showLegendKey val="0"/>
          <c:showVal val="0"/>
          <c:showCatName val="0"/>
          <c:showSerName val="0"/>
          <c:showPercent val="0"/>
          <c:showBubbleSize val="0"/>
        </c:dLbls>
        <c:gapWidth val="182"/>
        <c:axId val="457463752"/>
        <c:axId val="457468456"/>
      </c:barChart>
      <c:catAx>
        <c:axId val="457463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57468456"/>
        <c:crosses val="autoZero"/>
        <c:auto val="1"/>
        <c:lblAlgn val="ctr"/>
        <c:lblOffset val="100"/>
        <c:noMultiLvlLbl val="0"/>
      </c:catAx>
      <c:valAx>
        <c:axId val="457468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57463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cs-CZ" sz="1400">
                <a:solidFill>
                  <a:sysClr val="windowText" lastClr="000000"/>
                </a:solidFill>
                <a:latin typeface="Times New Roman" panose="02020603050405020304" pitchFamily="18" charset="0"/>
                <a:cs typeface="Times New Roman" panose="02020603050405020304" pitchFamily="18" charset="0"/>
              </a:rPr>
              <a:t>Rozklíčování nákladů pobytové služby v roce 2019</a:t>
            </a:r>
          </a:p>
        </c:rich>
      </c:tx>
      <c:layout>
        <c:manualLayout>
          <c:xMode val="edge"/>
          <c:yMode val="edge"/>
          <c:x val="0.14417510951062859"/>
          <c:y val="2.0887728459530026E-2"/>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rgbClr val="00B0F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C359-48DA-B8A2-5BC11C9D163D}"/>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C359-48DA-B8A2-5BC11C9D163D}"/>
              </c:ext>
            </c:extLst>
          </c:dPt>
          <c:dPt>
            <c:idx val="2"/>
            <c:bubble3D val="0"/>
            <c:spPr>
              <a:solidFill>
                <a:srgbClr val="5F5F5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C359-48DA-B8A2-5BC11C9D163D}"/>
              </c:ext>
            </c:extLst>
          </c:dPt>
          <c:dPt>
            <c:idx val="3"/>
            <c:bubble3D val="0"/>
            <c:spPr>
              <a:solidFill>
                <a:srgbClr val="FFFF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C359-48DA-B8A2-5BC11C9D163D}"/>
              </c:ext>
            </c:extLst>
          </c:dPt>
          <c:dPt>
            <c:idx val="4"/>
            <c:bubble3D val="0"/>
            <c:spPr>
              <a:solidFill>
                <a:srgbClr val="CC66F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C359-48DA-B8A2-5BC11C9D163D}"/>
              </c:ext>
            </c:extLst>
          </c:dPt>
          <c:dPt>
            <c:idx val="5"/>
            <c:bubble3D val="0"/>
            <c:spPr>
              <a:solidFill>
                <a:srgbClr val="00FF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C359-48DA-B8A2-5BC11C9D163D}"/>
              </c:ext>
            </c:extLst>
          </c:dPt>
          <c:dPt>
            <c:idx val="6"/>
            <c:bubble3D val="0"/>
            <c:spPr>
              <a:solidFill>
                <a:srgbClr val="FF505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C359-48DA-B8A2-5BC11C9D163D}"/>
              </c:ext>
            </c:extLst>
          </c:dPt>
          <c:dLbls>
            <c:dLbl>
              <c:idx val="0"/>
              <c:layout>
                <c:manualLayout>
                  <c:x val="-5.9718900325173496E-3"/>
                  <c:y val="-3.615605490566943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C359-48DA-B8A2-5BC11C9D163D}"/>
                </c:ext>
                <c:ext xmlns:c15="http://schemas.microsoft.com/office/drawing/2012/chart" uri="{CE6537A1-D6FC-4f65-9D91-7224C49458BB}">
                  <c15:layout/>
                </c:ext>
              </c:extLst>
            </c:dLbl>
            <c:dLbl>
              <c:idx val="1"/>
              <c:layout>
                <c:manualLayout>
                  <c:x val="-1.8897438579190885E-2"/>
                  <c:y val="-4.8012407539966558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C359-48DA-B8A2-5BC11C9D163D}"/>
                </c:ext>
                <c:ext xmlns:c15="http://schemas.microsoft.com/office/drawing/2012/chart" uri="{CE6537A1-D6FC-4f65-9D91-7224C49458BB}">
                  <c15:layout/>
                </c:ext>
              </c:extLst>
            </c:dLbl>
            <c:dLbl>
              <c:idx val="2"/>
              <c:layout>
                <c:manualLayout>
                  <c:x val="3.6426661088615367E-3"/>
                  <c:y val="-2.220681221665477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C359-48DA-B8A2-5BC11C9D163D}"/>
                </c:ext>
                <c:ext xmlns:c15="http://schemas.microsoft.com/office/drawing/2012/chart" uri="{CE6537A1-D6FC-4f65-9D91-7224C49458BB}">
                  <c15:layout/>
                </c:ext>
              </c:extLst>
            </c:dLbl>
            <c:dLbl>
              <c:idx val="3"/>
              <c:layout>
                <c:manualLayout>
                  <c:x val="3.4502233710349772E-2"/>
                  <c:y val="5.5389525172989743E-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1.842529645843596E-2"/>
                  <c:y val="3.836584347411119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C359-48DA-B8A2-5BC11C9D163D}"/>
                </c:ext>
                <c:ext xmlns:c15="http://schemas.microsoft.com/office/drawing/2012/chart" uri="{CE6537A1-D6FC-4f65-9D91-7224C49458BB}">
                  <c15:layout/>
                </c:ext>
              </c:extLst>
            </c:dLbl>
            <c:dLbl>
              <c:idx val="5"/>
              <c:layout>
                <c:manualLayout>
                  <c:x val="2.7130866320890693E-2"/>
                  <c:y val="4.978296772955599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C359-48DA-B8A2-5BC11C9D163D}"/>
                </c:ext>
                <c:ext xmlns:c15="http://schemas.microsoft.com/office/drawing/2012/chart" uri="{CE6537A1-D6FC-4f65-9D91-7224C49458BB}">
                  <c15:layout/>
                </c:ext>
              </c:extLst>
            </c:dLbl>
            <c:dLbl>
              <c:idx val="6"/>
              <c:spPr>
                <a:noFill/>
                <a:ln>
                  <a:noFill/>
                </a:ln>
                <a:effectLst/>
              </c:spPr>
              <c:txPr>
                <a:bodyPr rot="0" spcFirstLastPara="1" vertOverflow="overflow" horzOverflow="overflow" vert="horz" wrap="square" lIns="38100" tIns="19050" rIns="38100" bIns="19050" anchor="ctr" anchorCtr="1">
                  <a:noAutofit/>
                </a:bodyPr>
                <a:lstStyle/>
                <a:p>
                  <a:pPr>
                    <a:defRPr sz="1000" b="1" i="0" u="none" strike="noStrike" kern="1200" baseline="0">
                      <a:ln>
                        <a:noFill/>
                      </a:ln>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ctr"/>
              <c:showLegendKey val="0"/>
              <c:showVal val="0"/>
              <c:showCatName val="0"/>
              <c:showSerName val="0"/>
              <c:showPercent val="1"/>
              <c:showBubbleSize val="0"/>
              <c:extLst>
                <c:ext xmlns:c15="http://schemas.microsoft.com/office/drawing/2012/chart" uri="{CE6537A1-D6FC-4f65-9D91-7224C49458BB}">
                  <c15:spPr xmlns:c15="http://schemas.microsoft.com/office/drawing/2012/chart">
                    <a:prstGeom prst="rect">
                      <a:avLst/>
                    </a:prstGeom>
                    <a:pattFill prst="pct75">
                      <a:fgClr>
                        <a:schemeClr val="dk1">
                          <a:lumMod val="75000"/>
                          <a:lumOff val="25000"/>
                        </a:schemeClr>
                      </a:fgClr>
                      <a:bgClr>
                        <a:schemeClr val="dk1">
                          <a:lumMod val="65000"/>
                          <a:lumOff val="35000"/>
                        </a:schemeClr>
                      </a:bgClr>
                    </a:pattFill>
                    <a:ln>
                      <a:noFill/>
                    </a:ln>
                  </c15:spPr>
                </c:ext>
              </c:extLst>
            </c:dLbl>
            <c:spPr>
              <a:no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rozpočet!$BC$5:$BC$55</c:f>
              <c:strCache>
                <c:ptCount val="7"/>
                <c:pt idx="0">
                  <c:v>spotřeba materiálu</c:v>
                </c:pt>
                <c:pt idx="1">
                  <c:v>odpisy</c:v>
                </c:pt>
                <c:pt idx="2">
                  <c:v>drobný dlouhodobý majetek</c:v>
                </c:pt>
                <c:pt idx="3">
                  <c:v>ostatní náklady z činnosti</c:v>
                </c:pt>
                <c:pt idx="4">
                  <c:v>ostatní služby</c:v>
                </c:pt>
                <c:pt idx="5">
                  <c:v>spotřeba energie</c:v>
                </c:pt>
                <c:pt idx="6">
                  <c:v>osobní náklady</c:v>
                </c:pt>
              </c:strCache>
            </c:strRef>
          </c:cat>
          <c:val>
            <c:numRef>
              <c:f>rozpočet!$BD$5:$BD$55</c:f>
              <c:numCache>
                <c:formatCode>#,##0.00</c:formatCode>
                <c:ptCount val="7"/>
                <c:pt idx="0">
                  <c:v>4178132.54</c:v>
                </c:pt>
                <c:pt idx="1">
                  <c:v>1724420.0499999996</c:v>
                </c:pt>
                <c:pt idx="2">
                  <c:v>270370.76</c:v>
                </c:pt>
                <c:pt idx="3">
                  <c:v>544831.41</c:v>
                </c:pt>
                <c:pt idx="4">
                  <c:v>861649.9800000001</c:v>
                </c:pt>
                <c:pt idx="5">
                  <c:v>2003109.0099999998</c:v>
                </c:pt>
                <c:pt idx="6">
                  <c:v>30807199.27</c:v>
                </c:pt>
              </c:numCache>
            </c:numRef>
          </c:val>
          <c:extLst xmlns:c16r2="http://schemas.microsoft.com/office/drawing/2015/06/chart">
            <c:ext xmlns:c16="http://schemas.microsoft.com/office/drawing/2014/chart" uri="{C3380CC4-5D6E-409C-BE32-E72D297353CC}">
              <c16:uniqueId val="{0000000E-C359-48DA-B8A2-5BC11C9D163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2139098653623923"/>
          <c:y val="0.54881190764992493"/>
          <c:w val="0.26495713633065493"/>
          <c:h val="0.3866230820364164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cs-CZ" sz="1400">
                <a:solidFill>
                  <a:sysClr val="windowText" lastClr="000000"/>
                </a:solidFill>
                <a:latin typeface="Times New Roman" panose="02020603050405020304" pitchFamily="18" charset="0"/>
                <a:cs typeface="Times New Roman" panose="02020603050405020304" pitchFamily="18" charset="0"/>
              </a:rPr>
              <a:t>Rozklíčování výnosů pobytové služby 2019</a:t>
            </a: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rgbClr val="00B0F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7BDD-4F9A-8C7A-A61DDA6CA040}"/>
              </c:ext>
            </c:extLst>
          </c:dPt>
          <c:dPt>
            <c:idx val="1"/>
            <c:bubble3D val="0"/>
            <c:spPr>
              <a:solidFill>
                <a:schemeClr val="accent6">
                  <a:lumMod val="60000"/>
                  <a:lumOff val="4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7BDD-4F9A-8C7A-A61DDA6CA040}"/>
              </c:ext>
            </c:extLst>
          </c:dPt>
          <c:dPt>
            <c:idx val="2"/>
            <c:bubble3D val="0"/>
            <c:spPr>
              <a:solidFill>
                <a:srgbClr val="9933F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7BDD-4F9A-8C7A-A61DDA6CA040}"/>
              </c:ext>
            </c:extLst>
          </c:dPt>
          <c:dPt>
            <c:idx val="3"/>
            <c:bubble3D val="0"/>
            <c:spPr>
              <a:solidFill>
                <a:srgbClr val="FFC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7BDD-4F9A-8C7A-A61DDA6CA040}"/>
              </c:ext>
            </c:extLst>
          </c:dPt>
          <c:dPt>
            <c:idx val="4"/>
            <c:bubble3D val="0"/>
            <c:spPr>
              <a:solidFill>
                <a:srgbClr val="FF00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7BDD-4F9A-8C7A-A61DDA6CA040}"/>
              </c:ext>
            </c:extLst>
          </c:dPt>
          <c:dPt>
            <c:idx val="5"/>
            <c:bubble3D val="0"/>
            <c:spPr>
              <a:solidFill>
                <a:srgbClr val="00FF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7BDD-4F9A-8C7A-A61DDA6CA040}"/>
              </c:ext>
            </c:extLst>
          </c:dPt>
          <c:dPt>
            <c:idx val="6"/>
            <c:bubble3D val="0"/>
            <c:spPr>
              <a:solidFill>
                <a:schemeClr val="accent3">
                  <a:lumMod val="5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7BDD-4F9A-8C7A-A61DDA6CA040}"/>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F-7BDD-4F9A-8C7A-A61DDA6CA040}"/>
              </c:ext>
            </c:extLst>
          </c:dPt>
          <c:dLbls>
            <c:dLbl>
              <c:idx val="0"/>
              <c:layout>
                <c:manualLayout>
                  <c:x val="4.3387588296429393E-2"/>
                  <c:y val="3.89311044857256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BDD-4F9A-8C7A-A61DDA6CA040}"/>
                </c:ext>
                <c:ext xmlns:c15="http://schemas.microsoft.com/office/drawing/2012/chart" uri="{CE6537A1-D6FC-4f65-9D91-7224C49458BB}">
                  <c15:layout/>
                </c:ext>
              </c:extLst>
            </c:dLbl>
            <c:dLbl>
              <c:idx val="1"/>
              <c:layout>
                <c:manualLayout>
                  <c:x val="1.1367119378534058E-2"/>
                  <c:y val="-3.462732207017812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BDD-4F9A-8C7A-A61DDA6CA040}"/>
                </c:ext>
                <c:ext xmlns:c15="http://schemas.microsoft.com/office/drawing/2012/chart" uri="{CE6537A1-D6FC-4f65-9D91-7224C49458BB}">
                  <c15:layout/>
                </c:ext>
              </c:extLst>
            </c:dLbl>
            <c:dLbl>
              <c:idx val="2"/>
              <c:layout>
                <c:manualLayout>
                  <c:x val="-3.5847029188465534E-4"/>
                  <c:y val="-1.266026212742832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7BDD-4F9A-8C7A-A61DDA6CA040}"/>
                </c:ext>
                <c:ext xmlns:c15="http://schemas.microsoft.com/office/drawing/2012/chart" uri="{CE6537A1-D6FC-4f65-9D91-7224C49458BB}">
                  <c15:layout/>
                </c:ext>
              </c:extLst>
            </c:dLbl>
            <c:dLbl>
              <c:idx val="3"/>
              <c:layout>
                <c:manualLayout>
                  <c:x val="8.5508464126547945E-2"/>
                  <c:y val="-2.346473681081126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7BDD-4F9A-8C7A-A61DDA6CA040}"/>
                </c:ext>
                <c:ext xmlns:c15="http://schemas.microsoft.com/office/drawing/2012/chart" uri="{CE6537A1-D6FC-4f65-9D91-7224C49458BB}">
                  <c15:layout/>
                </c:ext>
              </c:extLst>
            </c:dLbl>
            <c:dLbl>
              <c:idx val="4"/>
              <c:layout>
                <c:manualLayout>
                  <c:x val="-4.727227888460272E-3"/>
                  <c:y val="-4.727739129696166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7BDD-4F9A-8C7A-A61DDA6CA040}"/>
                </c:ext>
                <c:ext xmlns:c15="http://schemas.microsoft.com/office/drawing/2012/chart" uri="{CE6537A1-D6FC-4f65-9D91-7224C49458BB}">
                  <c15:layout/>
                </c:ext>
              </c:extLst>
            </c:dLbl>
            <c:dLbl>
              <c:idx val="5"/>
              <c:layout>
                <c:manualLayout>
                  <c:x val="-4.420158889534781E-2"/>
                  <c:y val="4.556566351536155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7BDD-4F9A-8C7A-A61DDA6CA040}"/>
                </c:ext>
                <c:ext xmlns:c15="http://schemas.microsoft.com/office/drawing/2012/chart" uri="{CE6537A1-D6FC-4f65-9D91-7224C49458BB}">
                  <c15:layout/>
                </c:ext>
              </c:extLst>
            </c:dLbl>
            <c:dLbl>
              <c:idx val="6"/>
              <c:layout>
                <c:manualLayout>
                  <c:x val="4.1563177086085716E-3"/>
                  <c:y val="1.046573061862412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7BDD-4F9A-8C7A-A61DDA6CA040}"/>
                </c:ext>
                <c:ext xmlns:c15="http://schemas.microsoft.com/office/drawing/2012/chart" uri="{CE6537A1-D6FC-4f65-9D91-7224C49458BB}">
                  <c15:layout/>
                </c:ext>
              </c:extLst>
            </c:dLbl>
            <c:dLbl>
              <c:idx val="7"/>
              <c:layout>
                <c:manualLayout>
                  <c:x val="2.3136571015871299E-2"/>
                  <c:y val="1.1575057972122396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7BDD-4F9A-8C7A-A61DDA6CA04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ln>
                      <a:noFill/>
                    </a:ln>
                    <a:solidFill>
                      <a:sysClr val="windowText" lastClr="000000"/>
                    </a:solidFill>
                    <a:effectLst/>
                    <a:latin typeface="Times New Roman" panose="02020603050405020304" pitchFamily="18" charset="0"/>
                    <a:ea typeface="+mn-ea"/>
                    <a:cs typeface="Times New Roman" panose="02020603050405020304" pitchFamily="18" charset="0"/>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rozpočet!$BC$104:$BC$111</c:f>
              <c:strCache>
                <c:ptCount val="8"/>
                <c:pt idx="0">
                  <c:v>zdravotní pojišťovny</c:v>
                </c:pt>
                <c:pt idx="1">
                  <c:v>pobyt</c:v>
                </c:pt>
                <c:pt idx="2">
                  <c:v>strava</c:v>
                </c:pt>
                <c:pt idx="3">
                  <c:v>PNP</c:v>
                </c:pt>
                <c:pt idx="4">
                  <c:v>státní dotace </c:v>
                </c:pt>
                <c:pt idx="5">
                  <c:v>příspěvek zřizovatele</c:v>
                </c:pt>
                <c:pt idx="6">
                  <c:v>ostatní</c:v>
                </c:pt>
                <c:pt idx="7">
                  <c:v>krajský dotační program</c:v>
                </c:pt>
              </c:strCache>
            </c:strRef>
          </c:cat>
          <c:val>
            <c:numRef>
              <c:f>rozpočet!$BD$104:$BD$111</c:f>
              <c:numCache>
                <c:formatCode>#,##0.00</c:formatCode>
                <c:ptCount val="8"/>
                <c:pt idx="0">
                  <c:v>3693195.0499999993</c:v>
                </c:pt>
                <c:pt idx="1">
                  <c:v>6133605</c:v>
                </c:pt>
                <c:pt idx="2">
                  <c:v>5268439</c:v>
                </c:pt>
                <c:pt idx="3">
                  <c:v>7653151</c:v>
                </c:pt>
                <c:pt idx="4">
                  <c:v>13952000</c:v>
                </c:pt>
                <c:pt idx="5">
                  <c:v>2300000</c:v>
                </c:pt>
                <c:pt idx="6">
                  <c:v>910392.25</c:v>
                </c:pt>
                <c:pt idx="7">
                  <c:v>500000</c:v>
                </c:pt>
              </c:numCache>
            </c:numRef>
          </c:val>
          <c:extLst xmlns:c16r2="http://schemas.microsoft.com/office/drawing/2015/06/chart">
            <c:ext xmlns:c16="http://schemas.microsoft.com/office/drawing/2014/chart" uri="{C3380CC4-5D6E-409C-BE32-E72D297353CC}">
              <c16:uniqueId val="{00000010-7BDD-4F9A-8C7A-A61DDA6CA04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cs-CZ" sz="1400">
                <a:solidFill>
                  <a:sysClr val="windowText" lastClr="000000"/>
                </a:solidFill>
                <a:latin typeface="Times New Roman" panose="02020603050405020304" pitchFamily="18" charset="0"/>
                <a:cs typeface="Times New Roman" panose="02020603050405020304" pitchFamily="18" charset="0"/>
              </a:rPr>
              <a:t>Výnosy pečovatelské</a:t>
            </a:r>
            <a:r>
              <a:rPr lang="cs-CZ" sz="1400" baseline="0">
                <a:solidFill>
                  <a:sysClr val="windowText" lastClr="000000"/>
                </a:solidFill>
                <a:latin typeface="Times New Roman" panose="02020603050405020304" pitchFamily="18" charset="0"/>
                <a:cs typeface="Times New Roman" panose="02020603050405020304" pitchFamily="18" charset="0"/>
              </a:rPr>
              <a:t> služby 2019</a:t>
            </a:r>
            <a:endParaRPr lang="cs-CZ" sz="14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pieChart>
        <c:varyColors val="1"/>
        <c:ser>
          <c:idx val="0"/>
          <c:order val="0"/>
          <c:dPt>
            <c:idx val="0"/>
            <c:bubble3D val="0"/>
            <c:spPr>
              <a:solidFill>
                <a:srgbClr val="FFFF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1375-4869-9F11-AC268A9780C0}"/>
              </c:ext>
            </c:extLst>
          </c:dPt>
          <c:dPt>
            <c:idx val="1"/>
            <c:bubble3D val="0"/>
            <c:spPr>
              <a:solidFill>
                <a:srgbClr val="55AB8E"/>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1375-4869-9F11-AC268A9780C0}"/>
              </c:ext>
            </c:extLst>
          </c:dPt>
          <c:dPt>
            <c:idx val="2"/>
            <c:bubble3D val="0"/>
            <c:spPr>
              <a:solidFill>
                <a:schemeClr val="accent3">
                  <a:lumMod val="75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1375-4869-9F11-AC268A9780C0}"/>
              </c:ext>
            </c:extLst>
          </c:dPt>
          <c:dPt>
            <c:idx val="3"/>
            <c:bubble3D val="0"/>
            <c:spPr>
              <a:solidFill>
                <a:srgbClr val="FF99FF"/>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1375-4869-9F11-AC268A9780C0}"/>
              </c:ext>
            </c:extLst>
          </c:dPt>
          <c:dPt>
            <c:idx val="4"/>
            <c:bubble3D val="0"/>
            <c:spPr>
              <a:solidFill>
                <a:srgbClr val="FF505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1375-4869-9F11-AC268A9780C0}"/>
              </c:ext>
            </c:extLst>
          </c:dPt>
          <c:dPt>
            <c:idx val="5"/>
            <c:bubble3D val="0"/>
            <c:spPr>
              <a:solidFill>
                <a:srgbClr val="00FF00"/>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1375-4869-9F11-AC268A9780C0}"/>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D-1375-4869-9F11-AC268A9780C0}"/>
              </c:ext>
            </c:extLst>
          </c:dPt>
          <c:dLbls>
            <c:dLbl>
              <c:idx val="0"/>
              <c:layout>
                <c:manualLayout>
                  <c:x val="2.6923104206568692E-2"/>
                  <c:y val="2.9753483386923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1375-4869-9F11-AC268A9780C0}"/>
                </c:ext>
                <c:ext xmlns:c15="http://schemas.microsoft.com/office/drawing/2012/chart" uri="{CE6537A1-D6FC-4f65-9D91-7224C49458BB}">
                  <c15:layout/>
                </c:ext>
              </c:extLst>
            </c:dLbl>
            <c:dLbl>
              <c:idx val="1"/>
              <c:layout>
                <c:manualLayout>
                  <c:x val="2.4101049868766405E-2"/>
                  <c:y val="-0.1828520309559375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1375-4869-9F11-AC268A9780C0}"/>
                </c:ext>
                <c:ext xmlns:c15="http://schemas.microsoft.com/office/drawing/2012/chart" uri="{CE6537A1-D6FC-4f65-9D91-7224C49458BB}">
                  <c15:layout/>
                </c:ext>
              </c:extLst>
            </c:dLbl>
            <c:dLbl>
              <c:idx val="2"/>
              <c:layout>
                <c:manualLayout>
                  <c:x val="6.546942611903242E-2"/>
                  <c:y val="-1.350549830788836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1375-4869-9F11-AC268A9780C0}"/>
                </c:ext>
                <c:ext xmlns:c15="http://schemas.microsoft.com/office/drawing/2012/chart" uri="{CE6537A1-D6FC-4f65-9D91-7224C49458BB}">
                  <c15:layout/>
                </c:ext>
              </c:extLst>
            </c:dLbl>
            <c:dLbl>
              <c:idx val="3"/>
              <c:layout>
                <c:manualLayout>
                  <c:x val="-0.10233063772433851"/>
                  <c:y val="-5.5734190782438017E-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1375-4869-9F11-AC268A9780C0}"/>
                </c:ext>
                <c:ext xmlns:c15="http://schemas.microsoft.com/office/drawing/2012/chart" uri="{CE6537A1-D6FC-4f65-9D91-7224C49458BB}">
                  <c15:layout/>
                </c:ext>
              </c:extLst>
            </c:dLbl>
            <c:dLbl>
              <c:idx val="4"/>
              <c:layout>
                <c:manualLayout>
                  <c:x val="-2.0791125771440752E-2"/>
                  <c:y val="-1.346600163725515E-3"/>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1375-4869-9F11-AC268A9780C0}"/>
                </c:ext>
                <c:ext xmlns:c15="http://schemas.microsoft.com/office/drawing/2012/chart" uri="{CE6537A1-D6FC-4f65-9D91-7224C49458BB}">
                  <c15:layout/>
                </c:ext>
              </c:extLst>
            </c:dLbl>
            <c:dLbl>
              <c:idx val="5"/>
              <c:layout>
                <c:manualLayout>
                  <c:x val="-1.7850783854720862E-2"/>
                  <c:y val="2.1066578896287481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1375-4869-9F11-AC268A9780C0}"/>
                </c:ext>
                <c:ext xmlns:c15="http://schemas.microsoft.com/office/drawing/2012/chart" uri="{CE6537A1-D6FC-4f65-9D91-7224C49458BB}">
                  <c15:layout/>
                </c:ext>
              </c:extLst>
            </c:dLbl>
            <c:dLbl>
              <c:idx val="6"/>
              <c:layout>
                <c:manualLayout>
                  <c:x val="-1.3254061147761977E-2"/>
                  <c:y val="1.6403608712898025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1375-4869-9F11-AC268A9780C0}"/>
                </c:ext>
                <c:ext xmlns:c15="http://schemas.microsoft.com/office/drawing/2012/chart" uri="{CE6537A1-D6FC-4f65-9D91-7224C49458BB}">
                  <c15:layout/>
                </c:ext>
              </c:extLst>
            </c:dLbl>
            <c:spPr>
              <a:noFill/>
              <a:ln>
                <a:solidFill>
                  <a:schemeClr val="bg1">
                    <a:lumMod val="95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rozpočet!$BC$122:$BC$128</c:f>
              <c:strCache>
                <c:ptCount val="7"/>
                <c:pt idx="0">
                  <c:v>PNP</c:v>
                </c:pt>
                <c:pt idx="1">
                  <c:v>stravné</c:v>
                </c:pt>
                <c:pt idx="2">
                  <c:v>fakultativní služby</c:v>
                </c:pt>
                <c:pt idx="3">
                  <c:v>ostatní výnosy</c:v>
                </c:pt>
                <c:pt idx="4">
                  <c:v>státní dotace </c:v>
                </c:pt>
                <c:pt idx="5">
                  <c:v>příspěvek zřizovatele</c:v>
                </c:pt>
                <c:pt idx="6">
                  <c:v>krajský dotační program</c:v>
                </c:pt>
              </c:strCache>
            </c:strRef>
          </c:cat>
          <c:val>
            <c:numRef>
              <c:f>rozpočet!$BD$122:$BD$128</c:f>
              <c:numCache>
                <c:formatCode>#,##0.00</c:formatCode>
                <c:ptCount val="7"/>
                <c:pt idx="0">
                  <c:v>582749.52</c:v>
                </c:pt>
                <c:pt idx="1">
                  <c:v>1655816</c:v>
                </c:pt>
                <c:pt idx="2">
                  <c:v>49862.479999999996</c:v>
                </c:pt>
                <c:pt idx="3">
                  <c:v>152860.9</c:v>
                </c:pt>
                <c:pt idx="4">
                  <c:v>1632000</c:v>
                </c:pt>
                <c:pt idx="5">
                  <c:v>608000</c:v>
                </c:pt>
                <c:pt idx="6">
                  <c:v>192759</c:v>
                </c:pt>
              </c:numCache>
            </c:numRef>
          </c:val>
          <c:extLst xmlns:c16r2="http://schemas.microsoft.com/office/drawing/2015/06/chart">
            <c:ext xmlns:c16="http://schemas.microsoft.com/office/drawing/2014/chart" uri="{C3380CC4-5D6E-409C-BE32-E72D297353CC}">
              <c16:uniqueId val="{0000000E-1375-4869-9F11-AC268A9780C0}"/>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noFill/>
    <a:ln w="9525" cap="flat" cmpd="sng" algn="ctr">
      <a:solidFill>
        <a:schemeClr val="dk1">
          <a:lumMod val="25000"/>
          <a:lumOff val="7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cs-CZ" b="1">
                <a:latin typeface="Times New Roman" panose="02020603050405020304" pitchFamily="18" charset="0"/>
                <a:cs typeface="Times New Roman" panose="02020603050405020304" pitchFamily="18" charset="0"/>
              </a:rPr>
              <a:t>Přehled celkových nákladů za poslední 3 roky</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title>
    <c:autoTitleDeleted val="0"/>
    <c:plotArea>
      <c:layout/>
      <c:barChart>
        <c:barDir val="col"/>
        <c:grouping val="clustered"/>
        <c:varyColors val="0"/>
        <c:ser>
          <c:idx val="0"/>
          <c:order val="0"/>
          <c:tx>
            <c:strRef>
              <c:f>GRAFY!$BE$146</c:f>
              <c:strCache>
                <c:ptCount val="1"/>
                <c:pt idx="0">
                  <c:v>2019</c:v>
                </c:pt>
              </c:strCache>
            </c:strRef>
          </c:tx>
          <c:spPr>
            <a:solidFill>
              <a:srgbClr val="FF5050"/>
            </a:solidFill>
            <a:ln>
              <a:noFill/>
            </a:ln>
            <a:effectLst/>
          </c:spPr>
          <c:invertIfNegative val="0"/>
          <c:cat>
            <c:strRef>
              <c:f>GRAFY!$BD$147:$BD$154</c:f>
              <c:strCache>
                <c:ptCount val="8"/>
                <c:pt idx="0">
                  <c:v>spotřeba materiálu</c:v>
                </c:pt>
                <c:pt idx="1">
                  <c:v>spotřeba energie</c:v>
                </c:pt>
                <c:pt idx="2">
                  <c:v>odpisy</c:v>
                </c:pt>
                <c:pt idx="3">
                  <c:v>drobný dlouhodobý majetek</c:v>
                </c:pt>
                <c:pt idx="4">
                  <c:v>ostatní náklady z činnosti</c:v>
                </c:pt>
                <c:pt idx="5">
                  <c:v>ostatní služby</c:v>
                </c:pt>
                <c:pt idx="6">
                  <c:v>jiné</c:v>
                </c:pt>
                <c:pt idx="7">
                  <c:v>osobní náklady</c:v>
                </c:pt>
              </c:strCache>
            </c:strRef>
          </c:cat>
          <c:val>
            <c:numRef>
              <c:f>GRAFY!$BE$147:$BE$154</c:f>
              <c:numCache>
                <c:formatCode>#,##0</c:formatCode>
                <c:ptCount val="8"/>
                <c:pt idx="0">
                  <c:v>5319999.1900000004</c:v>
                </c:pt>
                <c:pt idx="1">
                  <c:v>2077508.67</c:v>
                </c:pt>
                <c:pt idx="2">
                  <c:v>1983292</c:v>
                </c:pt>
                <c:pt idx="3">
                  <c:v>385419.81</c:v>
                </c:pt>
                <c:pt idx="4">
                  <c:v>112180.33</c:v>
                </c:pt>
                <c:pt idx="5">
                  <c:v>952366.86</c:v>
                </c:pt>
                <c:pt idx="6">
                  <c:v>628766.17000000004</c:v>
                </c:pt>
                <c:pt idx="7">
                  <c:v>33928901.700000003</c:v>
                </c:pt>
              </c:numCache>
            </c:numRef>
          </c:val>
          <c:extLst xmlns:c16r2="http://schemas.microsoft.com/office/drawing/2015/06/chart">
            <c:ext xmlns:c16="http://schemas.microsoft.com/office/drawing/2014/chart" uri="{C3380CC4-5D6E-409C-BE32-E72D297353CC}">
              <c16:uniqueId val="{00000000-6554-48DB-AA1A-B91E4667906B}"/>
            </c:ext>
          </c:extLst>
        </c:ser>
        <c:ser>
          <c:idx val="1"/>
          <c:order val="1"/>
          <c:tx>
            <c:strRef>
              <c:f>GRAFY!$BF$146</c:f>
              <c:strCache>
                <c:ptCount val="1"/>
                <c:pt idx="0">
                  <c:v>2018</c:v>
                </c:pt>
              </c:strCache>
            </c:strRef>
          </c:tx>
          <c:spPr>
            <a:solidFill>
              <a:srgbClr val="92D050"/>
            </a:solidFill>
            <a:ln>
              <a:noFill/>
            </a:ln>
            <a:effectLst/>
          </c:spPr>
          <c:invertIfNegative val="0"/>
          <c:cat>
            <c:strRef>
              <c:f>GRAFY!$BD$147:$BD$154</c:f>
              <c:strCache>
                <c:ptCount val="8"/>
                <c:pt idx="0">
                  <c:v>spotřeba materiálu</c:v>
                </c:pt>
                <c:pt idx="1">
                  <c:v>spotřeba energie</c:v>
                </c:pt>
                <c:pt idx="2">
                  <c:v>odpisy</c:v>
                </c:pt>
                <c:pt idx="3">
                  <c:v>drobný dlouhodobý majetek</c:v>
                </c:pt>
                <c:pt idx="4">
                  <c:v>ostatní náklady z činnosti</c:v>
                </c:pt>
                <c:pt idx="5">
                  <c:v>ostatní služby</c:v>
                </c:pt>
                <c:pt idx="6">
                  <c:v>jiné</c:v>
                </c:pt>
                <c:pt idx="7">
                  <c:v>osobní náklady</c:v>
                </c:pt>
              </c:strCache>
            </c:strRef>
          </c:cat>
          <c:val>
            <c:numRef>
              <c:f>GRAFY!$BF$147:$BF$154</c:f>
              <c:numCache>
                <c:formatCode>#,##0</c:formatCode>
                <c:ptCount val="8"/>
                <c:pt idx="0">
                  <c:v>5115999.57</c:v>
                </c:pt>
                <c:pt idx="1">
                  <c:v>1944019.67</c:v>
                </c:pt>
                <c:pt idx="2">
                  <c:v>2087025</c:v>
                </c:pt>
                <c:pt idx="3">
                  <c:v>714775.65</c:v>
                </c:pt>
                <c:pt idx="4">
                  <c:v>268036.78000000003</c:v>
                </c:pt>
                <c:pt idx="5">
                  <c:v>902548.6</c:v>
                </c:pt>
                <c:pt idx="6">
                  <c:v>808420.06</c:v>
                </c:pt>
                <c:pt idx="7">
                  <c:v>30421640.25</c:v>
                </c:pt>
              </c:numCache>
            </c:numRef>
          </c:val>
          <c:extLst xmlns:c16r2="http://schemas.microsoft.com/office/drawing/2015/06/chart">
            <c:ext xmlns:c16="http://schemas.microsoft.com/office/drawing/2014/chart" uri="{C3380CC4-5D6E-409C-BE32-E72D297353CC}">
              <c16:uniqueId val="{00000001-6554-48DB-AA1A-B91E4667906B}"/>
            </c:ext>
          </c:extLst>
        </c:ser>
        <c:ser>
          <c:idx val="2"/>
          <c:order val="2"/>
          <c:tx>
            <c:strRef>
              <c:f>GRAFY!$BG$146</c:f>
              <c:strCache>
                <c:ptCount val="1"/>
                <c:pt idx="0">
                  <c:v>2017</c:v>
                </c:pt>
              </c:strCache>
            </c:strRef>
          </c:tx>
          <c:spPr>
            <a:solidFill>
              <a:srgbClr val="FFC000"/>
            </a:solidFill>
            <a:ln>
              <a:noFill/>
            </a:ln>
            <a:effectLst/>
          </c:spPr>
          <c:invertIfNegative val="0"/>
          <c:cat>
            <c:strRef>
              <c:f>GRAFY!$BD$147:$BD$154</c:f>
              <c:strCache>
                <c:ptCount val="8"/>
                <c:pt idx="0">
                  <c:v>spotřeba materiálu</c:v>
                </c:pt>
                <c:pt idx="1">
                  <c:v>spotřeba energie</c:v>
                </c:pt>
                <c:pt idx="2">
                  <c:v>odpisy</c:v>
                </c:pt>
                <c:pt idx="3">
                  <c:v>drobný dlouhodobý majetek</c:v>
                </c:pt>
                <c:pt idx="4">
                  <c:v>ostatní náklady z činnosti</c:v>
                </c:pt>
                <c:pt idx="5">
                  <c:v>ostatní služby</c:v>
                </c:pt>
                <c:pt idx="6">
                  <c:v>jiné</c:v>
                </c:pt>
                <c:pt idx="7">
                  <c:v>osobní náklady</c:v>
                </c:pt>
              </c:strCache>
            </c:strRef>
          </c:cat>
          <c:val>
            <c:numRef>
              <c:f>GRAFY!$BG$147:$BG$154</c:f>
              <c:numCache>
                <c:formatCode>#,##0</c:formatCode>
                <c:ptCount val="8"/>
                <c:pt idx="0">
                  <c:v>5101040</c:v>
                </c:pt>
                <c:pt idx="1">
                  <c:v>2516000</c:v>
                </c:pt>
                <c:pt idx="2">
                  <c:v>2138656</c:v>
                </c:pt>
                <c:pt idx="3">
                  <c:v>448971</c:v>
                </c:pt>
                <c:pt idx="4">
                  <c:v>159900</c:v>
                </c:pt>
                <c:pt idx="5">
                  <c:v>1291355</c:v>
                </c:pt>
                <c:pt idx="6">
                  <c:v>800073</c:v>
                </c:pt>
                <c:pt idx="7">
                  <c:v>26333149</c:v>
                </c:pt>
              </c:numCache>
            </c:numRef>
          </c:val>
          <c:extLst xmlns:c16r2="http://schemas.microsoft.com/office/drawing/2015/06/chart">
            <c:ext xmlns:c16="http://schemas.microsoft.com/office/drawing/2014/chart" uri="{C3380CC4-5D6E-409C-BE32-E72D297353CC}">
              <c16:uniqueId val="{00000002-6554-48DB-AA1A-B91E4667906B}"/>
            </c:ext>
          </c:extLst>
        </c:ser>
        <c:dLbls>
          <c:showLegendKey val="0"/>
          <c:showVal val="0"/>
          <c:showCatName val="0"/>
          <c:showSerName val="0"/>
          <c:showPercent val="0"/>
          <c:showBubbleSize val="0"/>
        </c:dLbls>
        <c:gapWidth val="219"/>
        <c:overlap val="-27"/>
        <c:axId val="457465320"/>
        <c:axId val="457466496"/>
      </c:barChart>
      <c:catAx>
        <c:axId val="457465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57466496"/>
        <c:crosses val="autoZero"/>
        <c:auto val="1"/>
        <c:lblAlgn val="ctr"/>
        <c:lblOffset val="100"/>
        <c:noMultiLvlLbl val="0"/>
      </c:catAx>
      <c:valAx>
        <c:axId val="4574664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574653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1">
                <a:solidFill>
                  <a:schemeClr val="tx1"/>
                </a:solidFill>
                <a:latin typeface="Times New Roman" panose="02020603050405020304" pitchFamily="18" charset="0"/>
                <a:cs typeface="Times New Roman" panose="02020603050405020304" pitchFamily="18" charset="0"/>
              </a:rPr>
              <a:t>Přehled celkových</a:t>
            </a:r>
            <a:r>
              <a:rPr lang="cs-CZ" b="1" baseline="0">
                <a:solidFill>
                  <a:schemeClr val="tx1"/>
                </a:solidFill>
                <a:latin typeface="Times New Roman" panose="02020603050405020304" pitchFamily="18" charset="0"/>
                <a:cs typeface="Times New Roman" panose="02020603050405020304" pitchFamily="18" charset="0"/>
              </a:rPr>
              <a:t> výnosů za poslední 3 roky</a:t>
            </a:r>
            <a:endParaRPr lang="cs-CZ"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GRAFY!$BE$176</c:f>
              <c:strCache>
                <c:ptCount val="1"/>
                <c:pt idx="0">
                  <c:v>2019</c:v>
                </c:pt>
              </c:strCache>
            </c:strRef>
          </c:tx>
          <c:spPr>
            <a:solidFill>
              <a:srgbClr val="FF5050"/>
            </a:solidFill>
            <a:ln>
              <a:noFill/>
            </a:ln>
            <a:effectLst/>
          </c:spPr>
          <c:invertIfNegative val="0"/>
          <c:cat>
            <c:strRef>
              <c:f>GRAFY!$BD$177:$BD$185</c:f>
              <c:strCache>
                <c:ptCount val="9"/>
                <c:pt idx="0">
                  <c:v>zdravotní pojišťovny</c:v>
                </c:pt>
                <c:pt idx="1">
                  <c:v>pobyt</c:v>
                </c:pt>
                <c:pt idx="2">
                  <c:v>strava</c:v>
                </c:pt>
                <c:pt idx="3">
                  <c:v>PNP</c:v>
                </c:pt>
                <c:pt idx="4">
                  <c:v>státní dotace</c:v>
                </c:pt>
                <c:pt idx="5">
                  <c:v>příspěvek zřizovatele</c:v>
                </c:pt>
                <c:pt idx="6">
                  <c:v>krajský dotační program</c:v>
                </c:pt>
                <c:pt idx="7">
                  <c:v>ostatní</c:v>
                </c:pt>
                <c:pt idx="8">
                  <c:v>stravné pečovatelská sl.</c:v>
                </c:pt>
              </c:strCache>
            </c:strRef>
          </c:cat>
          <c:val>
            <c:numRef>
              <c:f>GRAFY!$BE$177:$BE$185</c:f>
              <c:numCache>
                <c:formatCode>#,##0</c:formatCode>
                <c:ptCount val="9"/>
                <c:pt idx="0">
                  <c:v>3693195.0499999993</c:v>
                </c:pt>
                <c:pt idx="1">
                  <c:v>6133605</c:v>
                </c:pt>
                <c:pt idx="2">
                  <c:v>5268439</c:v>
                </c:pt>
                <c:pt idx="3">
                  <c:v>8235900.5199999996</c:v>
                </c:pt>
                <c:pt idx="4">
                  <c:v>15584000</c:v>
                </c:pt>
                <c:pt idx="5">
                  <c:v>2978000</c:v>
                </c:pt>
                <c:pt idx="6">
                  <c:v>692759</c:v>
                </c:pt>
                <c:pt idx="7">
                  <c:v>1215257.6299999999</c:v>
                </c:pt>
                <c:pt idx="8">
                  <c:v>1655816</c:v>
                </c:pt>
              </c:numCache>
            </c:numRef>
          </c:val>
          <c:extLst xmlns:c16r2="http://schemas.microsoft.com/office/drawing/2015/06/chart">
            <c:ext xmlns:c16="http://schemas.microsoft.com/office/drawing/2014/chart" uri="{C3380CC4-5D6E-409C-BE32-E72D297353CC}">
              <c16:uniqueId val="{00000000-773B-4A5B-894B-57A83B749B81}"/>
            </c:ext>
          </c:extLst>
        </c:ser>
        <c:ser>
          <c:idx val="1"/>
          <c:order val="1"/>
          <c:tx>
            <c:strRef>
              <c:f>GRAFY!$BF$176</c:f>
              <c:strCache>
                <c:ptCount val="1"/>
                <c:pt idx="0">
                  <c:v>2018</c:v>
                </c:pt>
              </c:strCache>
            </c:strRef>
          </c:tx>
          <c:spPr>
            <a:solidFill>
              <a:srgbClr val="92D050"/>
            </a:solidFill>
            <a:ln>
              <a:noFill/>
            </a:ln>
            <a:effectLst/>
          </c:spPr>
          <c:invertIfNegative val="0"/>
          <c:cat>
            <c:strRef>
              <c:f>GRAFY!$BD$177:$BD$185</c:f>
              <c:strCache>
                <c:ptCount val="9"/>
                <c:pt idx="0">
                  <c:v>zdravotní pojišťovny</c:v>
                </c:pt>
                <c:pt idx="1">
                  <c:v>pobyt</c:v>
                </c:pt>
                <c:pt idx="2">
                  <c:v>strava</c:v>
                </c:pt>
                <c:pt idx="3">
                  <c:v>PNP</c:v>
                </c:pt>
                <c:pt idx="4">
                  <c:v>státní dotace</c:v>
                </c:pt>
                <c:pt idx="5">
                  <c:v>příspěvek zřizovatele</c:v>
                </c:pt>
                <c:pt idx="6">
                  <c:v>krajský dotační program</c:v>
                </c:pt>
                <c:pt idx="7">
                  <c:v>ostatní</c:v>
                </c:pt>
                <c:pt idx="8">
                  <c:v>stravné pečovatelská sl.</c:v>
                </c:pt>
              </c:strCache>
            </c:strRef>
          </c:cat>
          <c:val>
            <c:numRef>
              <c:f>GRAFY!$BF$177:$BF$185</c:f>
              <c:numCache>
                <c:formatCode>#,##0</c:formatCode>
                <c:ptCount val="9"/>
                <c:pt idx="0">
                  <c:v>3243363.64</c:v>
                </c:pt>
                <c:pt idx="1">
                  <c:v>5595927</c:v>
                </c:pt>
                <c:pt idx="2">
                  <c:v>4997592</c:v>
                </c:pt>
                <c:pt idx="3">
                  <c:v>7900345.9100000001</c:v>
                </c:pt>
                <c:pt idx="4">
                  <c:v>15143000</c:v>
                </c:pt>
                <c:pt idx="5">
                  <c:v>2673000</c:v>
                </c:pt>
                <c:pt idx="7">
                  <c:v>1185923.52</c:v>
                </c:pt>
                <c:pt idx="8">
                  <c:v>1555184</c:v>
                </c:pt>
              </c:numCache>
            </c:numRef>
          </c:val>
          <c:extLst xmlns:c16r2="http://schemas.microsoft.com/office/drawing/2015/06/chart">
            <c:ext xmlns:c16="http://schemas.microsoft.com/office/drawing/2014/chart" uri="{C3380CC4-5D6E-409C-BE32-E72D297353CC}">
              <c16:uniqueId val="{00000001-773B-4A5B-894B-57A83B749B81}"/>
            </c:ext>
          </c:extLst>
        </c:ser>
        <c:ser>
          <c:idx val="2"/>
          <c:order val="2"/>
          <c:tx>
            <c:strRef>
              <c:f>GRAFY!$BG$176</c:f>
              <c:strCache>
                <c:ptCount val="1"/>
                <c:pt idx="0">
                  <c:v>2017</c:v>
                </c:pt>
              </c:strCache>
            </c:strRef>
          </c:tx>
          <c:spPr>
            <a:solidFill>
              <a:srgbClr val="FFC000"/>
            </a:solidFill>
            <a:ln>
              <a:noFill/>
            </a:ln>
            <a:effectLst/>
          </c:spPr>
          <c:invertIfNegative val="0"/>
          <c:cat>
            <c:strRef>
              <c:f>GRAFY!$BD$177:$BD$185</c:f>
              <c:strCache>
                <c:ptCount val="9"/>
                <c:pt idx="0">
                  <c:v>zdravotní pojišťovny</c:v>
                </c:pt>
                <c:pt idx="1">
                  <c:v>pobyt</c:v>
                </c:pt>
                <c:pt idx="2">
                  <c:v>strava</c:v>
                </c:pt>
                <c:pt idx="3">
                  <c:v>PNP</c:v>
                </c:pt>
                <c:pt idx="4">
                  <c:v>státní dotace</c:v>
                </c:pt>
                <c:pt idx="5">
                  <c:v>příspěvek zřizovatele</c:v>
                </c:pt>
                <c:pt idx="6">
                  <c:v>krajský dotační program</c:v>
                </c:pt>
                <c:pt idx="7">
                  <c:v>ostatní</c:v>
                </c:pt>
                <c:pt idx="8">
                  <c:v>stravné pečovatelská sl.</c:v>
                </c:pt>
              </c:strCache>
            </c:strRef>
          </c:cat>
          <c:val>
            <c:numRef>
              <c:f>GRAFY!$BG$177:$BG$185</c:f>
              <c:numCache>
                <c:formatCode>#,##0</c:formatCode>
                <c:ptCount val="9"/>
                <c:pt idx="0">
                  <c:v>2433443.2999999998</c:v>
                </c:pt>
                <c:pt idx="1">
                  <c:v>5366488</c:v>
                </c:pt>
                <c:pt idx="2">
                  <c:v>4729261</c:v>
                </c:pt>
                <c:pt idx="3">
                  <c:v>7666296.5300000003</c:v>
                </c:pt>
                <c:pt idx="4">
                  <c:v>11814000</c:v>
                </c:pt>
                <c:pt idx="5">
                  <c:v>2621000</c:v>
                </c:pt>
                <c:pt idx="7">
                  <c:v>1130588.4099999999</c:v>
                </c:pt>
                <c:pt idx="8">
                  <c:v>1379151</c:v>
                </c:pt>
              </c:numCache>
            </c:numRef>
          </c:val>
          <c:extLst xmlns:c16r2="http://schemas.microsoft.com/office/drawing/2015/06/chart">
            <c:ext xmlns:c16="http://schemas.microsoft.com/office/drawing/2014/chart" uri="{C3380CC4-5D6E-409C-BE32-E72D297353CC}">
              <c16:uniqueId val="{00000002-773B-4A5B-894B-57A83B749B81}"/>
            </c:ext>
          </c:extLst>
        </c:ser>
        <c:dLbls>
          <c:showLegendKey val="0"/>
          <c:showVal val="0"/>
          <c:showCatName val="0"/>
          <c:showSerName val="0"/>
          <c:showPercent val="0"/>
          <c:showBubbleSize val="0"/>
        </c:dLbls>
        <c:gapWidth val="150"/>
        <c:axId val="457461008"/>
        <c:axId val="457462576"/>
      </c:barChart>
      <c:catAx>
        <c:axId val="45746100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457462576"/>
        <c:crosses val="autoZero"/>
        <c:auto val="1"/>
        <c:lblAlgn val="ctr"/>
        <c:lblOffset val="100"/>
        <c:noMultiLvlLbl val="0"/>
      </c:catAx>
      <c:valAx>
        <c:axId val="457462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cs-CZ"/>
          </a:p>
        </c:txPr>
        <c:crossAx val="457461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invertIfNegative val="0"/>
          <c:dPt>
            <c:idx val="0"/>
            <c:invertIfNegative val="0"/>
            <c:bubble3D val="0"/>
            <c:spPr>
              <a:solidFill>
                <a:srgbClr val="85A5CB"/>
              </a:solidFill>
            </c:spPr>
          </c:dPt>
          <c:dPt>
            <c:idx val="1"/>
            <c:invertIfNegative val="0"/>
            <c:bubble3D val="0"/>
            <c:spPr>
              <a:solidFill>
                <a:srgbClr val="B6CC89"/>
              </a:solidFill>
            </c:spPr>
          </c:dPt>
          <c:dPt>
            <c:idx val="2"/>
            <c:invertIfNegative val="0"/>
            <c:bubble3D val="0"/>
            <c:spPr>
              <a:solidFill>
                <a:schemeClr val="bg2">
                  <a:lumMod val="90000"/>
                </a:schemeClr>
              </a:solidFill>
            </c:spPr>
          </c:dPt>
          <c:dPt>
            <c:idx val="3"/>
            <c:invertIfNegative val="0"/>
            <c:bubble3D val="0"/>
            <c:spPr>
              <a:solidFill>
                <a:srgbClr val="7030A0"/>
              </a:solidFill>
            </c:spPr>
          </c:dPt>
          <c:dPt>
            <c:idx val="4"/>
            <c:invertIfNegative val="0"/>
            <c:bubble3D val="0"/>
            <c:spPr>
              <a:solidFill>
                <a:srgbClr val="FF0000"/>
              </a:solidFill>
            </c:spPr>
          </c:dPt>
          <c:dLbls>
            <c:dLbl>
              <c:idx val="0"/>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dLbl>
            <c:dLbl>
              <c:idx val="1"/>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dLbl>
            <c:dLbl>
              <c:idx val="2"/>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dLbl>
            <c:dLbl>
              <c:idx val="3"/>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dLbl>
            <c:dLbl>
              <c:idx val="4"/>
              <c:layout>
                <c:manualLayout>
                  <c:x val="-8.6720867208672277E-3"/>
                  <c:y val="-4.0774719673802246E-3"/>
                </c:manualLayout>
              </c:layout>
              <c:spPr>
                <a:noFill/>
                <a:ln>
                  <a:noFill/>
                </a:ln>
                <a:effectLst/>
              </c:spPr>
              <c:txPr>
                <a:bodyPr wrap="square" lIns="38100" tIns="19050" rIns="38100" bIns="19050" anchor="ctr">
                  <a:spAutoFit/>
                </a:bodyPr>
                <a:lstStyle/>
                <a:p>
                  <a:pPr>
                    <a:defRPr b="1"/>
                  </a:pPr>
                  <a:endParaRPr lang="cs-CZ"/>
                </a:p>
              </c:txP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Sheet1!$A$22:$A$26</c:f>
              <c:strCache>
                <c:ptCount val="5"/>
                <c:pt idx="0">
                  <c:v>27 - 65</c:v>
                </c:pt>
                <c:pt idx="1">
                  <c:v>66 - 75</c:v>
                </c:pt>
                <c:pt idx="2">
                  <c:v>76 - 85</c:v>
                </c:pt>
                <c:pt idx="3">
                  <c:v>86 - 95</c:v>
                </c:pt>
                <c:pt idx="4">
                  <c:v>od 96</c:v>
                </c:pt>
              </c:strCache>
            </c:strRef>
          </c:cat>
          <c:val>
            <c:numRef>
              <c:f>Sheet1!$B$22:$B$26</c:f>
              <c:numCache>
                <c:formatCode>General</c:formatCode>
                <c:ptCount val="5"/>
                <c:pt idx="0">
                  <c:v>1</c:v>
                </c:pt>
                <c:pt idx="1">
                  <c:v>10</c:v>
                </c:pt>
                <c:pt idx="2">
                  <c:v>30</c:v>
                </c:pt>
                <c:pt idx="3">
                  <c:v>42</c:v>
                </c:pt>
                <c:pt idx="4">
                  <c:v>4</c:v>
                </c:pt>
              </c:numCache>
            </c:numRef>
          </c:val>
        </c:ser>
        <c:dLbls>
          <c:showLegendKey val="0"/>
          <c:showVal val="0"/>
          <c:showCatName val="0"/>
          <c:showSerName val="0"/>
          <c:showPercent val="0"/>
          <c:showBubbleSize val="0"/>
        </c:dLbls>
        <c:gapWidth val="100"/>
        <c:axId val="324229880"/>
        <c:axId val="324227528"/>
      </c:barChart>
      <c:valAx>
        <c:axId val="324227528"/>
        <c:scaling>
          <c:orientation val="minMax"/>
        </c:scaling>
        <c:delete val="0"/>
        <c:axPos val="b"/>
        <c:majorGridlines/>
        <c:numFmt formatCode="General" sourceLinked="1"/>
        <c:majorTickMark val="out"/>
        <c:minorTickMark val="none"/>
        <c:tickLblPos val="nextTo"/>
        <c:crossAx val="324229880"/>
        <c:crosses val="autoZero"/>
        <c:crossBetween val="between"/>
      </c:valAx>
      <c:catAx>
        <c:axId val="324229880"/>
        <c:scaling>
          <c:orientation val="minMax"/>
        </c:scaling>
        <c:delete val="0"/>
        <c:axPos val="l"/>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cs-CZ"/>
          </a:p>
        </c:txPr>
        <c:crossAx val="324227528"/>
        <c:crosses val="autoZero"/>
        <c:auto val="1"/>
        <c:lblAlgn val="ctr"/>
        <c:lblOffset val="100"/>
        <c:noMultiLvlLbl val="0"/>
      </c:cat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7030A0"/>
              </a:solidFill>
            </c:spPr>
          </c:dPt>
          <c:dPt>
            <c:idx val="1"/>
            <c:bubble3D val="0"/>
            <c:spPr>
              <a:solidFill>
                <a:srgbClr val="B6CC89"/>
              </a:solidFill>
            </c:spPr>
          </c:dPt>
          <c:dPt>
            <c:idx val="2"/>
            <c:bubble3D val="0"/>
            <c:spPr>
              <a:solidFill>
                <a:schemeClr val="bg2">
                  <a:lumMod val="90000"/>
                </a:schemeClr>
              </a:solidFill>
            </c:spPr>
          </c:dPt>
          <c:dPt>
            <c:idx val="3"/>
            <c:bubble3D val="0"/>
            <c:spPr>
              <a:solidFill>
                <a:schemeClr val="accent1">
                  <a:lumMod val="40000"/>
                  <a:lumOff val="60000"/>
                </a:schemeClr>
              </a:solidFill>
            </c:spPr>
          </c:dPt>
          <c:dPt>
            <c:idx val="4"/>
            <c:bubble3D val="0"/>
            <c:spPr>
              <a:solidFill>
                <a:srgbClr val="FF0000"/>
              </a:solidFill>
            </c:spPr>
          </c:dPt>
          <c:dLbls>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cs-CZ"/>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Sheet1!$A$22:$A$26</c:f>
              <c:strCache>
                <c:ptCount val="5"/>
                <c:pt idx="0">
                  <c:v>27 - 65</c:v>
                </c:pt>
                <c:pt idx="1">
                  <c:v>66 - 75</c:v>
                </c:pt>
                <c:pt idx="2">
                  <c:v>76 - 85</c:v>
                </c:pt>
                <c:pt idx="3">
                  <c:v>86 - 95</c:v>
                </c:pt>
                <c:pt idx="4">
                  <c:v>od 96</c:v>
                </c:pt>
              </c:strCache>
            </c:strRef>
          </c:cat>
          <c:val>
            <c:numRef>
              <c:f>Sheet1!$B$22:$B$26</c:f>
              <c:numCache>
                <c:formatCode>General</c:formatCode>
                <c:ptCount val="5"/>
                <c:pt idx="0">
                  <c:v>1</c:v>
                </c:pt>
                <c:pt idx="1">
                  <c:v>10</c:v>
                </c:pt>
                <c:pt idx="2">
                  <c:v>30</c:v>
                </c:pt>
                <c:pt idx="3">
                  <c:v>42</c:v>
                </c:pt>
                <c:pt idx="4">
                  <c:v>4</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rgbClr val="FF7C80"/>
            </a:solidFill>
          </c:spPr>
          <c:dPt>
            <c:idx val="0"/>
            <c:bubble3D val="0"/>
            <c:spPr>
              <a:solidFill>
                <a:schemeClr val="accent1">
                  <a:lumMod val="40000"/>
                  <a:lumOff val="60000"/>
                </a:schemeClr>
              </a:solidFill>
            </c:spPr>
          </c:dPt>
          <c:dPt>
            <c:idx val="1"/>
            <c:bubble3D val="0"/>
          </c:dPt>
          <c:dLbls>
            <c:spPr>
              <a:noFill/>
              <a:ln>
                <a:noFill/>
              </a:ln>
              <a:effectLst/>
            </c:spPr>
            <c:txPr>
              <a:bodyPr wrap="square" lIns="38100" tIns="19050" rIns="38100" bIns="19050" anchor="ctr">
                <a:spAutoFit/>
              </a:bodyPr>
              <a:lstStyle/>
              <a:p>
                <a:pPr>
                  <a:defRPr b="1"/>
                </a:pPr>
                <a:endParaRPr lang="cs-CZ"/>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Sheet1!$A$22:$A$23</c:f>
              <c:strCache>
                <c:ptCount val="2"/>
                <c:pt idx="0">
                  <c:v>Muž</c:v>
                </c:pt>
                <c:pt idx="1">
                  <c:v>Žena</c:v>
                </c:pt>
              </c:strCache>
            </c:strRef>
          </c:cat>
          <c:val>
            <c:numRef>
              <c:f>Sheet1!$B$22:$B$23</c:f>
              <c:numCache>
                <c:formatCode>General</c:formatCode>
                <c:ptCount val="2"/>
                <c:pt idx="0">
                  <c:v>23</c:v>
                </c:pt>
                <c:pt idx="1">
                  <c:v>64</c:v>
                </c:pt>
              </c:numCache>
            </c:numRef>
          </c:val>
        </c:ser>
        <c:dLbls>
          <c:showLegendKey val="0"/>
          <c:showVal val="0"/>
          <c:showCatName val="0"/>
          <c:showSerName val="0"/>
          <c:showPercent val="1"/>
          <c:showBubbleSize val="0"/>
          <c:showLeaderLines val="1"/>
        </c:dLbls>
        <c:firstSliceAng val="90"/>
      </c:pieChart>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92038495188102E-2"/>
          <c:y val="5.0925925925925923E-2"/>
          <c:w val="0.90286351706036749"/>
          <c:h val="0.73577136191309422"/>
        </c:manualLayout>
      </c:layout>
      <c:barChart>
        <c:barDir val="col"/>
        <c:grouping val="clustered"/>
        <c:varyColors val="0"/>
        <c:ser>
          <c:idx val="0"/>
          <c:order val="0"/>
          <c:tx>
            <c:strRef>
              <c:f>List1!$B$1</c:f>
              <c:strCache>
                <c:ptCount val="1"/>
                <c:pt idx="0">
                  <c:v>muž</c:v>
                </c:pt>
              </c:strCache>
            </c:strRef>
          </c:tx>
          <c:spPr>
            <a:solidFill>
              <a:schemeClr val="accent1">
                <a:lumMod val="60000"/>
                <a:lumOff val="40000"/>
              </a:schemeClr>
            </a:solidFill>
            <a:ln>
              <a:noFill/>
            </a:ln>
            <a:effectLst/>
          </c:spPr>
          <c:invertIfNegative val="0"/>
          <c:dLbls>
            <c:dLbl>
              <c:idx val="0"/>
              <c:layout>
                <c:manualLayout>
                  <c:x val="-2.5462668816039986E-17"/>
                  <c:y val="-2.31481481481482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7777777777777779E-3"/>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List1!$A$2:$A$4</c:f>
              <c:numCache>
                <c:formatCode>General</c:formatCode>
                <c:ptCount val="3"/>
                <c:pt idx="0">
                  <c:v>2017</c:v>
                </c:pt>
                <c:pt idx="1">
                  <c:v>2018</c:v>
                </c:pt>
                <c:pt idx="2">
                  <c:v>2019</c:v>
                </c:pt>
              </c:numCache>
            </c:numRef>
          </c:cat>
          <c:val>
            <c:numRef>
              <c:f>List1!$B$2:$B$4</c:f>
              <c:numCache>
                <c:formatCode>General</c:formatCode>
                <c:ptCount val="3"/>
                <c:pt idx="0">
                  <c:v>19</c:v>
                </c:pt>
                <c:pt idx="1">
                  <c:v>23</c:v>
                </c:pt>
                <c:pt idx="2">
                  <c:v>23</c:v>
                </c:pt>
              </c:numCache>
            </c:numRef>
          </c:val>
        </c:ser>
        <c:ser>
          <c:idx val="1"/>
          <c:order val="1"/>
          <c:tx>
            <c:strRef>
              <c:f>List1!$C$1</c:f>
              <c:strCache>
                <c:ptCount val="1"/>
                <c:pt idx="0">
                  <c:v>žena</c:v>
                </c:pt>
              </c:strCache>
            </c:strRef>
          </c:tx>
          <c:spPr>
            <a:solidFill>
              <a:srgbClr val="FF7C80"/>
            </a:solidFill>
            <a:ln>
              <a:noFill/>
            </a:ln>
            <a:effectLst/>
          </c:spPr>
          <c:invertIfNegative val="0"/>
          <c:dLbls>
            <c:dLbl>
              <c:idx val="0"/>
              <c:layout>
                <c:manualLayout>
                  <c:x val="-5.0925337632079971E-17"/>
                  <c:y val="-2.777777777777778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2.31481481481481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5067526415994E-16"/>
                  <c:y val="-2.31481481481481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List1!$A$2:$A$4</c:f>
              <c:numCache>
                <c:formatCode>General</c:formatCode>
                <c:ptCount val="3"/>
                <c:pt idx="0">
                  <c:v>2017</c:v>
                </c:pt>
                <c:pt idx="1">
                  <c:v>2018</c:v>
                </c:pt>
                <c:pt idx="2">
                  <c:v>2019</c:v>
                </c:pt>
              </c:numCache>
            </c:numRef>
          </c:cat>
          <c:val>
            <c:numRef>
              <c:f>List1!$C$2:$C$4</c:f>
              <c:numCache>
                <c:formatCode>General</c:formatCode>
                <c:ptCount val="3"/>
                <c:pt idx="0">
                  <c:v>70</c:v>
                </c:pt>
                <c:pt idx="1">
                  <c:v>66</c:v>
                </c:pt>
                <c:pt idx="2">
                  <c:v>64</c:v>
                </c:pt>
              </c:numCache>
            </c:numRef>
          </c:val>
        </c:ser>
        <c:dLbls>
          <c:showLegendKey val="0"/>
          <c:showVal val="0"/>
          <c:showCatName val="0"/>
          <c:showSerName val="0"/>
          <c:showPercent val="0"/>
          <c:showBubbleSize val="0"/>
        </c:dLbls>
        <c:gapWidth val="150"/>
        <c:axId val="327257368"/>
        <c:axId val="327252664"/>
      </c:barChart>
      <c:catAx>
        <c:axId val="327257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2664"/>
        <c:crosses val="autoZero"/>
        <c:auto val="1"/>
        <c:lblAlgn val="ctr"/>
        <c:lblOffset val="100"/>
        <c:noMultiLvlLbl val="0"/>
      </c:catAx>
      <c:valAx>
        <c:axId val="327252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736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Pt>
            <c:idx val="0"/>
            <c:invertIfNegative val="0"/>
            <c:bubble3D val="0"/>
            <c:spPr>
              <a:solidFill>
                <a:schemeClr val="accent1">
                  <a:lumMod val="60000"/>
                  <a:lumOff val="40000"/>
                </a:schemeClr>
              </a:solidFill>
            </c:spPr>
          </c:dPt>
          <c:dPt>
            <c:idx val="1"/>
            <c:invertIfNegative val="0"/>
            <c:bubble3D val="0"/>
            <c:spPr>
              <a:solidFill>
                <a:schemeClr val="accent6">
                  <a:lumMod val="40000"/>
                  <a:lumOff val="60000"/>
                </a:schemeClr>
              </a:solidFill>
            </c:spPr>
          </c:dPt>
          <c:dPt>
            <c:idx val="2"/>
            <c:invertIfNegative val="0"/>
            <c:bubble3D val="0"/>
            <c:spPr>
              <a:solidFill>
                <a:srgbClr val="FF99CC"/>
              </a:solidFill>
            </c:spPr>
          </c:dPt>
          <c:dPt>
            <c:idx val="3"/>
            <c:invertIfNegative val="0"/>
            <c:bubble3D val="0"/>
            <c:spPr>
              <a:solidFill>
                <a:srgbClr val="A08FB5"/>
              </a:solidFill>
            </c:spPr>
          </c:dPt>
          <c:dPt>
            <c:idx val="4"/>
            <c:invertIfNegative val="0"/>
            <c:bubble3D val="0"/>
            <c:spPr>
              <a:solidFill>
                <a:schemeClr val="accent4"/>
              </a:solidFill>
            </c:spPr>
          </c:dPt>
          <c:dLbls>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Sheet1!$A$22:$A$26</c:f>
              <c:strCache>
                <c:ptCount val="5"/>
                <c:pt idx="0">
                  <c:v>IV.</c:v>
                </c:pt>
                <c:pt idx="1">
                  <c:v>III.</c:v>
                </c:pt>
                <c:pt idx="2">
                  <c:v>II.</c:v>
                </c:pt>
                <c:pt idx="3">
                  <c:v>I.</c:v>
                </c:pt>
                <c:pt idx="4">
                  <c:v>Bez příspěvku</c:v>
                </c:pt>
              </c:strCache>
            </c:strRef>
          </c:cat>
          <c:val>
            <c:numRef>
              <c:f>Sheet1!$B$22:$B$26</c:f>
              <c:numCache>
                <c:formatCode>General</c:formatCode>
                <c:ptCount val="5"/>
                <c:pt idx="0">
                  <c:v>13</c:v>
                </c:pt>
                <c:pt idx="1">
                  <c:v>37</c:v>
                </c:pt>
                <c:pt idx="2">
                  <c:v>23</c:v>
                </c:pt>
                <c:pt idx="3">
                  <c:v>13</c:v>
                </c:pt>
                <c:pt idx="4">
                  <c:v>1</c:v>
                </c:pt>
              </c:numCache>
            </c:numRef>
          </c:val>
        </c:ser>
        <c:dLbls>
          <c:showLegendKey val="0"/>
          <c:showVal val="0"/>
          <c:showCatName val="0"/>
          <c:showSerName val="0"/>
          <c:showPercent val="0"/>
          <c:showBubbleSize val="0"/>
        </c:dLbls>
        <c:gapWidth val="100"/>
        <c:axId val="327253056"/>
        <c:axId val="327253840"/>
      </c:barChart>
      <c:catAx>
        <c:axId val="327253056"/>
        <c:scaling>
          <c:orientation val="minMax"/>
        </c:scaling>
        <c:delete val="0"/>
        <c:axPos val="b"/>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cs-CZ"/>
          </a:p>
        </c:txPr>
        <c:crossAx val="327253840"/>
        <c:crosses val="autoZero"/>
        <c:auto val="1"/>
        <c:lblAlgn val="ctr"/>
        <c:lblOffset val="100"/>
        <c:noMultiLvlLbl val="0"/>
      </c:catAx>
      <c:valAx>
        <c:axId val="32725384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cs-CZ"/>
          </a:p>
        </c:txPr>
        <c:crossAx val="327253056"/>
        <c:crosses val="autoZero"/>
        <c:crossBetween val="between"/>
      </c:valAx>
    </c:plotArea>
    <c:legend>
      <c:legendPos val="r"/>
      <c:layout/>
      <c:overlay val="0"/>
      <c:txPr>
        <a:bodyPr/>
        <a:lstStyle/>
        <a:p>
          <a:pPr>
            <a:defRPr>
              <a:latin typeface="Times New Roman" panose="02020603050405020304" pitchFamily="18" charset="0"/>
              <a:cs typeface="Times New Roman" panose="02020603050405020304" pitchFamily="18" charset="0"/>
            </a:defRPr>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60000"/>
                  <a:lumOff val="40000"/>
                </a:schemeClr>
              </a:solidFill>
            </c:spPr>
          </c:dPt>
          <c:dPt>
            <c:idx val="1"/>
            <c:bubble3D val="0"/>
            <c:spPr>
              <a:solidFill>
                <a:schemeClr val="accent6">
                  <a:lumMod val="40000"/>
                  <a:lumOff val="60000"/>
                </a:schemeClr>
              </a:solidFill>
            </c:spPr>
          </c:dPt>
          <c:dPt>
            <c:idx val="2"/>
            <c:bubble3D val="0"/>
            <c:spPr>
              <a:solidFill>
                <a:srgbClr val="FF99CC"/>
              </a:solidFill>
            </c:spPr>
          </c:dPt>
          <c:dPt>
            <c:idx val="3"/>
            <c:bubble3D val="0"/>
            <c:spPr>
              <a:solidFill>
                <a:srgbClr val="A08FB5"/>
              </a:solidFill>
            </c:spPr>
          </c:dPt>
          <c:dPt>
            <c:idx val="4"/>
            <c:bubble3D val="0"/>
            <c:spPr>
              <a:solidFill>
                <a:schemeClr val="accent4"/>
              </a:solidFill>
            </c:spPr>
          </c:dPt>
          <c:dLbls>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cs-CZ"/>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Sheet1!$A$22:$A$26</c:f>
              <c:strCache>
                <c:ptCount val="5"/>
                <c:pt idx="0">
                  <c:v>IV.</c:v>
                </c:pt>
                <c:pt idx="1">
                  <c:v>III.</c:v>
                </c:pt>
                <c:pt idx="2">
                  <c:v>II.</c:v>
                </c:pt>
                <c:pt idx="3">
                  <c:v>I.</c:v>
                </c:pt>
                <c:pt idx="4">
                  <c:v>Bez příspěvku</c:v>
                </c:pt>
              </c:strCache>
            </c:strRef>
          </c:cat>
          <c:val>
            <c:numRef>
              <c:f>Sheet1!$B$22:$B$26</c:f>
              <c:numCache>
                <c:formatCode>General</c:formatCode>
                <c:ptCount val="5"/>
                <c:pt idx="0">
                  <c:v>13</c:v>
                </c:pt>
                <c:pt idx="1">
                  <c:v>37</c:v>
                </c:pt>
                <c:pt idx="2">
                  <c:v>23</c:v>
                </c:pt>
                <c:pt idx="3">
                  <c:v>13</c:v>
                </c:pt>
                <c:pt idx="4">
                  <c:v>1</c:v>
                </c:pt>
              </c:numCache>
            </c:numRef>
          </c:val>
        </c:ser>
        <c:dLbls>
          <c:showLegendKey val="0"/>
          <c:showVal val="0"/>
          <c:showCatName val="0"/>
          <c:showSerName val="0"/>
          <c:showPercent val="1"/>
          <c:showBubbleSize val="0"/>
          <c:showLeaderLines val="1"/>
        </c:dLbls>
        <c:firstSliceAng val="9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circle"/>
            <c:size val="5"/>
            <c:spPr>
              <a:solidFill>
                <a:srgbClr val="FF0000"/>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List1!$A$1:$A$3</c:f>
              <c:numCache>
                <c:formatCode>General</c:formatCode>
                <c:ptCount val="3"/>
                <c:pt idx="0">
                  <c:v>2017</c:v>
                </c:pt>
                <c:pt idx="1">
                  <c:v>2018</c:v>
                </c:pt>
                <c:pt idx="2">
                  <c:v>2019</c:v>
                </c:pt>
              </c:numCache>
            </c:numRef>
          </c:cat>
          <c:val>
            <c:numRef>
              <c:f>List1!$B$1:$B$3</c:f>
              <c:numCache>
                <c:formatCode>General</c:formatCode>
                <c:ptCount val="3"/>
                <c:pt idx="0">
                  <c:v>47</c:v>
                </c:pt>
                <c:pt idx="1">
                  <c:v>34</c:v>
                </c:pt>
                <c:pt idx="2">
                  <c:v>17</c:v>
                </c:pt>
              </c:numCache>
            </c:numRef>
          </c:val>
          <c:smooth val="0"/>
        </c:ser>
        <c:dLbls>
          <c:showLegendKey val="0"/>
          <c:showVal val="0"/>
          <c:showCatName val="0"/>
          <c:showSerName val="0"/>
          <c:showPercent val="0"/>
          <c:showBubbleSize val="0"/>
        </c:dLbls>
        <c:marker val="1"/>
        <c:smooth val="0"/>
        <c:axId val="327256976"/>
        <c:axId val="327257760"/>
      </c:lineChart>
      <c:catAx>
        <c:axId val="327256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7760"/>
        <c:crosses val="autoZero"/>
        <c:auto val="1"/>
        <c:lblAlgn val="ctr"/>
        <c:lblOffset val="100"/>
        <c:noMultiLvlLbl val="0"/>
      </c:catAx>
      <c:valAx>
        <c:axId val="3272577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cs-CZ"/>
          </a:p>
        </c:txPr>
        <c:crossAx val="327256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1"/>
        <c:ser>
          <c:idx val="0"/>
          <c:order val="0"/>
          <c:tx>
            <c:strRef>
              <c:f>Sheet1!$A$22</c:f>
              <c:strCache>
                <c:ptCount val="1"/>
                <c:pt idx="0">
                  <c:v>DS (Domov pro seniory)</c:v>
                </c:pt>
              </c:strCache>
            </c:strRef>
          </c:tx>
          <c:spPr>
            <a:ln w="28575" cap="rnd">
              <a:solidFill>
                <a:srgbClr val="85A5CB"/>
              </a:solidFill>
              <a:round/>
            </a:ln>
          </c:spPr>
          <c:marker>
            <c:symbol val="circle"/>
            <c:size val="8"/>
            <c:spPr>
              <a:solidFill>
                <a:srgbClr val="FF0000"/>
              </a:solidFill>
              <a:ln>
                <a:solidFill>
                  <a:srgbClr val="85A5CB"/>
                </a:solidFill>
              </a:ln>
            </c:spPr>
          </c:marker>
          <c:dLbls>
            <c:spPr>
              <a:noFill/>
              <a:ln>
                <a:noFill/>
              </a:ln>
              <a:effectLst/>
            </c:spPr>
            <c:txPr>
              <a:bodyPr wrap="square" lIns="38100" tIns="19050" rIns="38100" bIns="19050" anchor="ctr">
                <a:spAutoFit/>
              </a:bodyPr>
              <a:lstStyle/>
              <a:p>
                <a:pPr>
                  <a:defRPr b="1">
                    <a:latin typeface="Times New Roman" panose="02020603050405020304" pitchFamily="18" charset="0"/>
                    <a:cs typeface="Times New Roman" panose="02020603050405020304" pitchFamily="18"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Sheet1!$C$21:$N$21</c:f>
              <c:strCache>
                <c:ptCount val="12"/>
                <c:pt idx="0">
                  <c:v>Leden</c:v>
                </c:pt>
                <c:pt idx="1">
                  <c:v>Únor</c:v>
                </c:pt>
                <c:pt idx="2">
                  <c:v>Březen</c:v>
                </c:pt>
                <c:pt idx="3">
                  <c:v>Duben</c:v>
                </c:pt>
                <c:pt idx="4">
                  <c:v>Květen</c:v>
                </c:pt>
                <c:pt idx="5">
                  <c:v>Červen</c:v>
                </c:pt>
                <c:pt idx="6">
                  <c:v>Červenec</c:v>
                </c:pt>
                <c:pt idx="7">
                  <c:v>Srpen</c:v>
                </c:pt>
                <c:pt idx="8">
                  <c:v>Září</c:v>
                </c:pt>
                <c:pt idx="9">
                  <c:v>Říjen</c:v>
                </c:pt>
                <c:pt idx="10">
                  <c:v>Listopad</c:v>
                </c:pt>
                <c:pt idx="11">
                  <c:v>Prosinec</c:v>
                </c:pt>
              </c:strCache>
            </c:strRef>
          </c:cat>
          <c:val>
            <c:numRef>
              <c:f>Sheet1!$C$22:$N$22</c:f>
              <c:numCache>
                <c:formatCode>General</c:formatCode>
                <c:ptCount val="12"/>
                <c:pt idx="0">
                  <c:v>99.09</c:v>
                </c:pt>
                <c:pt idx="1">
                  <c:v>99.76</c:v>
                </c:pt>
                <c:pt idx="2">
                  <c:v>99.67</c:v>
                </c:pt>
                <c:pt idx="3">
                  <c:v>100</c:v>
                </c:pt>
                <c:pt idx="4">
                  <c:v>100</c:v>
                </c:pt>
                <c:pt idx="5">
                  <c:v>99.85</c:v>
                </c:pt>
                <c:pt idx="6">
                  <c:v>99.78</c:v>
                </c:pt>
                <c:pt idx="7">
                  <c:v>99.31</c:v>
                </c:pt>
                <c:pt idx="8">
                  <c:v>99.93</c:v>
                </c:pt>
                <c:pt idx="9">
                  <c:v>100</c:v>
                </c:pt>
                <c:pt idx="10">
                  <c:v>99.18</c:v>
                </c:pt>
                <c:pt idx="11">
                  <c:v>99.57</c:v>
                </c:pt>
              </c:numCache>
            </c:numRef>
          </c:val>
          <c:smooth val="0"/>
        </c:ser>
        <c:dLbls>
          <c:showLegendKey val="0"/>
          <c:showVal val="0"/>
          <c:showCatName val="0"/>
          <c:showSerName val="0"/>
          <c:showPercent val="0"/>
          <c:showBubbleSize val="0"/>
        </c:dLbls>
        <c:marker val="1"/>
        <c:smooth val="0"/>
        <c:axId val="327258936"/>
        <c:axId val="327252272"/>
      </c:lineChart>
      <c:catAx>
        <c:axId val="32725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cs typeface="Times New Roman" panose="02020603050405020304" pitchFamily="18" charset="0"/>
              </a:defRPr>
            </a:pPr>
            <a:endParaRPr lang="cs-CZ"/>
          </a:p>
        </c:txPr>
        <c:crossAx val="327252272"/>
        <c:crosses val="autoZero"/>
        <c:auto val="1"/>
        <c:lblAlgn val="ctr"/>
        <c:lblOffset val="100"/>
        <c:noMultiLvlLbl val="0"/>
      </c:catAx>
      <c:valAx>
        <c:axId val="327252272"/>
        <c:scaling>
          <c:orientation val="minMax"/>
        </c:scaling>
        <c:delete val="0"/>
        <c:axPos val="l"/>
        <c:majorGridlines>
          <c:spPr>
            <a:ln w="9525" cap="flat" cmpd="sng" algn="ctr">
              <a:solidFill>
                <a:schemeClr val="tx1">
                  <a:lumMod val="15000"/>
                  <a:lumOff val="85000"/>
                </a:schemeClr>
              </a:solidFill>
            </a:ln>
          </c:spPr>
        </c:majorGridlines>
        <c:numFmt formatCode="0\ &quot;%&quot;" sourceLinked="0"/>
        <c:majorTickMark val="none"/>
        <c:minorTickMark val="none"/>
        <c:tickLblPos val="nextTo"/>
        <c:spPr>
          <a:noFill/>
          <a:ln>
            <a:noFill/>
          </a:ln>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cs typeface="Times New Roman" panose="02020603050405020304" pitchFamily="18" charset="0"/>
              </a:defRPr>
            </a:pPr>
            <a:endParaRPr lang="cs-CZ"/>
          </a:p>
        </c:txPr>
        <c:crossAx val="327258936"/>
        <c:crosses val="autoZero"/>
        <c:crossBetween val="between"/>
      </c:valAx>
      <c:spPr>
        <a:noFill/>
        <a:ln>
          <a:noFill/>
        </a:ln>
      </c:spPr>
    </c:plotArea>
    <c:plotVisOnly val="1"/>
    <c:dispBlanksAs val="gap"/>
    <c:showDLblsOverMax val="0"/>
  </c:chart>
  <c:spPr>
    <a:solidFill>
      <a:schemeClr val="bg1"/>
    </a:solidFill>
    <a:ln w="9525" cap="flat" cmpd="sng" algn="ctr">
      <a:solidFill>
        <a:schemeClr val="tx1">
          <a:lumMod val="15000"/>
          <a:lumOff val="85000"/>
        </a:schemeClr>
      </a:solidFill>
    </a:ln>
  </c:spPr>
  <c:txPr>
    <a:bodyPr/>
    <a:lstStyle/>
    <a:p>
      <a:pPr>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23</Pages>
  <Words>3340</Words>
  <Characters>19706</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2020-03-03T12:53:00Z</cp:lastPrinted>
  <dcterms:created xsi:type="dcterms:W3CDTF">2020-01-24T05:50:00Z</dcterms:created>
  <dcterms:modified xsi:type="dcterms:W3CDTF">2020-03-03T14:27:00Z</dcterms:modified>
</cp:coreProperties>
</file>